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C35CE" w:rsidRDefault="003F2709">
      <w:pPr>
        <w:rPr>
          <w:b/>
          <w:sz w:val="32"/>
          <w:szCs w:val="32"/>
        </w:rPr>
      </w:pPr>
      <w:r w:rsidRPr="009C35CE">
        <w:rPr>
          <w:b/>
          <w:sz w:val="32"/>
          <w:szCs w:val="32"/>
        </w:rPr>
        <w:t>Mais um passo para a utilização do hidrogénio como fonte de energia alternativa</w:t>
      </w:r>
    </w:p>
    <w:p w:rsidR="003F2709" w:rsidRDefault="003F2709">
      <w:pPr>
        <w:rPr>
          <w:sz w:val="24"/>
        </w:rPr>
      </w:pPr>
    </w:p>
    <w:p w:rsidR="003F2709" w:rsidRPr="009C35CE" w:rsidRDefault="003F2709" w:rsidP="003F270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Calibri"/>
          <w:b/>
          <w:bCs/>
          <w:kern w:val="36"/>
          <w:sz w:val="24"/>
          <w:szCs w:val="24"/>
          <w:lang w:eastAsia="pt-PT"/>
        </w:rPr>
      </w:pPr>
      <w:r w:rsidRPr="009C35CE">
        <w:rPr>
          <w:rFonts w:eastAsia="Times New Roman" w:cs="Calibri"/>
          <w:b/>
          <w:bCs/>
          <w:kern w:val="36"/>
          <w:sz w:val="24"/>
          <w:szCs w:val="24"/>
          <w:lang w:eastAsia="pt-PT"/>
        </w:rPr>
        <w:t>Investigadores do ITQB NOVA desvendam funcionamento de enzima que produz hidrogénio</w:t>
      </w:r>
      <w:r w:rsidR="009C35CE">
        <w:rPr>
          <w:rFonts w:eastAsia="Times New Roman" w:cs="Calibri"/>
          <w:b/>
          <w:bCs/>
          <w:kern w:val="36"/>
          <w:sz w:val="24"/>
          <w:szCs w:val="24"/>
          <w:lang w:eastAsia="pt-PT"/>
        </w:rPr>
        <w:t>.</w:t>
      </w:r>
    </w:p>
    <w:p w:rsidR="003F2709" w:rsidRDefault="003F2709"/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284DD3">
        <w:rPr>
          <w:rFonts w:eastAsia="Times New Roman" w:cs="Calibri"/>
          <w:sz w:val="24"/>
          <w:szCs w:val="24"/>
          <w:lang w:eastAsia="pt-PT"/>
        </w:rPr>
        <w:t xml:space="preserve">Investigadores do </w:t>
      </w:r>
      <w:r w:rsidRPr="00284DD3">
        <w:rPr>
          <w:rFonts w:eastAsia="Times New Roman" w:cs="Calibri"/>
          <w:b/>
          <w:sz w:val="24"/>
          <w:szCs w:val="24"/>
          <w:lang w:eastAsia="pt-PT"/>
        </w:rPr>
        <w:t>ITQB NOVA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 da Universidade NOVA de Lisboa</w:t>
      </w:r>
      <w:proofErr w:type="gramStart"/>
      <w:r w:rsidRPr="00284DD3">
        <w:rPr>
          <w:rFonts w:eastAsia="Times New Roman" w:cs="Calibri"/>
          <w:sz w:val="24"/>
          <w:szCs w:val="24"/>
          <w:lang w:eastAsia="pt-PT"/>
        </w:rPr>
        <w:t>,</w:t>
      </w:r>
      <w:proofErr w:type="gramEnd"/>
      <w:r w:rsidRPr="00284DD3">
        <w:rPr>
          <w:rFonts w:eastAsia="Times New Roman" w:cs="Calibri"/>
          <w:sz w:val="24"/>
          <w:szCs w:val="24"/>
          <w:lang w:eastAsia="pt-PT"/>
        </w:rPr>
        <w:t xml:space="preserve"> têm vindo a estudar um grupo especial de enzimas que produzem hidrogénio, que são particularmente interessantes por terem uma elevada produtividade de hidrogénio e maior tolerância à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inactivação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pelo oxigénio. Num estudo publicado </w:t>
      </w:r>
      <w:r>
        <w:rPr>
          <w:rFonts w:eastAsia="Times New Roman" w:cs="Calibri"/>
          <w:sz w:val="24"/>
          <w:szCs w:val="24"/>
          <w:lang w:eastAsia="pt-PT"/>
        </w:rPr>
        <w:t>dia 20 de Março de 2017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 na revista </w:t>
      </w:r>
      <w:proofErr w:type="spellStart"/>
      <w:r w:rsidRPr="00284DD3">
        <w:rPr>
          <w:rFonts w:eastAsia="Times New Roman" w:cs="Calibri"/>
          <w:b/>
          <w:sz w:val="24"/>
          <w:szCs w:val="24"/>
          <w:lang w:eastAsia="pt-PT"/>
        </w:rPr>
        <w:t>Nature</w:t>
      </w:r>
      <w:proofErr w:type="spellEnd"/>
      <w:r w:rsidRPr="00284DD3">
        <w:rPr>
          <w:rFonts w:eastAsia="Times New Roman" w:cs="Calibri"/>
          <w:b/>
          <w:sz w:val="24"/>
          <w:szCs w:val="24"/>
          <w:lang w:eastAsia="pt-PT"/>
        </w:rPr>
        <w:t xml:space="preserve"> </w:t>
      </w:r>
      <w:proofErr w:type="spellStart"/>
      <w:r w:rsidRPr="00284DD3">
        <w:rPr>
          <w:rFonts w:eastAsia="Times New Roman" w:cs="Calibri"/>
          <w:b/>
          <w:sz w:val="24"/>
          <w:szCs w:val="24"/>
          <w:lang w:eastAsia="pt-PT"/>
        </w:rPr>
        <w:t>Chemical</w:t>
      </w:r>
      <w:proofErr w:type="spellEnd"/>
      <w:r w:rsidRPr="00284DD3">
        <w:rPr>
          <w:rFonts w:eastAsia="Times New Roman" w:cs="Calibri"/>
          <w:b/>
          <w:sz w:val="24"/>
          <w:szCs w:val="24"/>
          <w:lang w:eastAsia="pt-PT"/>
        </w:rPr>
        <w:t xml:space="preserve"> </w:t>
      </w:r>
      <w:proofErr w:type="spellStart"/>
      <w:r w:rsidRPr="00284DD3">
        <w:rPr>
          <w:rFonts w:eastAsia="Times New Roman" w:cs="Calibri"/>
          <w:b/>
          <w:sz w:val="24"/>
          <w:szCs w:val="24"/>
          <w:lang w:eastAsia="pt-PT"/>
        </w:rPr>
        <w:t>Biology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estes investigadores desve</w:t>
      </w:r>
      <w:r>
        <w:rPr>
          <w:rFonts w:eastAsia="Times New Roman" w:cs="Calibri"/>
          <w:sz w:val="24"/>
          <w:szCs w:val="24"/>
          <w:lang w:eastAsia="pt-PT"/>
        </w:rPr>
        <w:t>ndam o papel essencial que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 o átomo de selénio no centro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activo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da enzima desempenha na sua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actividade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. </w:t>
      </w:r>
    </w:p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284DD3">
        <w:rPr>
          <w:rFonts w:eastAsia="Times New Roman" w:cs="Calibri"/>
          <w:sz w:val="24"/>
          <w:szCs w:val="24"/>
          <w:lang w:eastAsia="pt-PT"/>
        </w:rPr>
        <w:t>O hidrogénio é uma fonte de energia muito atraente</w:t>
      </w:r>
      <w:r w:rsidRPr="00284DD3">
        <w:rPr>
          <w:rFonts w:cs="Calibri"/>
          <w:sz w:val="24"/>
          <w:szCs w:val="24"/>
        </w:rPr>
        <w:t xml:space="preserve"> 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porque fornece mais energia de combustão do que qualquer outro combustível, e a sua utilização gera apenas vapor de água tornando-o um combustível limpo e sem impacto ambiental. No entanto, existem várias questões técnicas que têm dificultado a implementação de uma economia sustentável baseada no hidrogénio, como as dificuldades de transporte e armazenamento. </w:t>
      </w:r>
    </w:p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284DD3">
        <w:rPr>
          <w:rFonts w:eastAsia="Times New Roman" w:cs="Calibri"/>
          <w:sz w:val="24"/>
          <w:szCs w:val="24"/>
          <w:lang w:eastAsia="pt-PT"/>
        </w:rPr>
        <w:t xml:space="preserve">Na natureza, o hidrogénio é produzido por um grupo de proteínas chamadas </w:t>
      </w:r>
      <w:proofErr w:type="spellStart"/>
      <w:r w:rsidRPr="00284DD3">
        <w:rPr>
          <w:rFonts w:eastAsia="Times New Roman" w:cs="Calibri"/>
          <w:b/>
          <w:sz w:val="24"/>
          <w:szCs w:val="24"/>
          <w:lang w:eastAsia="pt-PT"/>
        </w:rPr>
        <w:t>hidrogenases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. Estas enzimas promovem a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reacção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química mais simples de todas: juntar dois protões e dois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electrões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para formar uma molécula de hidrogénio, o elemento mais pequeno da tabela periódica. Mas esta simplicidade é aparente, pois em termos químicos esta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reacção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é extremamente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díficil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e requer o fornecimento de grandes quantidades de energia. É por isso um desafio perceber como as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hidrogenases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conseguem funcionar em condições suaves e de baixa energia, para que estas enzimas possam vir a ser usadas para produzir hidrogénio a partir de fontes renováveis, como a solar, ou para produzir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electricidade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a partir do hidrogénio.</w:t>
      </w:r>
    </w:p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284DD3">
        <w:rPr>
          <w:rFonts w:eastAsia="Times New Roman" w:cs="Calibri"/>
          <w:sz w:val="24"/>
          <w:szCs w:val="24"/>
          <w:lang w:eastAsia="pt-PT"/>
        </w:rPr>
        <w:t xml:space="preserve">As enzimas evoluíram ao longo de milhões de anos para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optimizar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a sua função e desempenham-na, em geral muito melhor do que a tecnologia humana. As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hidrogenases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usam metais baratos para fazer à temperatura ambiente o que as células de combustível só conseguem a altas temperaturas e utilizando a platina, um metal muito caro. Ao adaptar o mecanismo desta enzima à tecnologia será possível fazer pilhas de combustível mais baratas e consequentemente produzir hidrogénio barato a partir de eletricidade. </w:t>
      </w:r>
    </w:p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284DD3">
        <w:rPr>
          <w:rFonts w:eastAsia="Times New Roman" w:cs="Calibri"/>
          <w:sz w:val="24"/>
          <w:szCs w:val="24"/>
          <w:lang w:eastAsia="pt-PT"/>
        </w:rPr>
        <w:t xml:space="preserve">"Já sabíamos que o selénio era muito importante para a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actividade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desta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hidrogenase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, mas não sabíamos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exactamente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quanto, nem porquê. O que fizemos para perceber o seu papel foi usar a engenharia de proteínas para substituir o selénio por um elemento semelhante, o enxofre, e ver o que acontecia", conta </w:t>
      </w:r>
      <w:r w:rsidRPr="00284DD3">
        <w:rPr>
          <w:rFonts w:eastAsia="Times New Roman" w:cs="Calibri"/>
          <w:b/>
          <w:sz w:val="24"/>
          <w:szCs w:val="24"/>
          <w:lang w:eastAsia="pt-PT"/>
        </w:rPr>
        <w:t>Inês Cardoso Pereira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, autora principal do trabalho juntamente com </w:t>
      </w:r>
      <w:r w:rsidRPr="00284DD3">
        <w:rPr>
          <w:rFonts w:eastAsia="Times New Roman" w:cs="Calibri"/>
          <w:b/>
          <w:sz w:val="24"/>
          <w:szCs w:val="24"/>
          <w:lang w:eastAsia="pt-PT"/>
        </w:rPr>
        <w:t>Pedro Matias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. "Depois determinámos a estrutura molecular deste variante em diferentes condições de exposição ao oxigénio, o que nos permitiu ver quais as </w:t>
      </w:r>
      <w:r w:rsidRPr="00284DD3">
        <w:rPr>
          <w:rFonts w:eastAsia="Times New Roman" w:cs="Calibri"/>
          <w:sz w:val="24"/>
          <w:szCs w:val="24"/>
          <w:lang w:eastAsia="pt-PT"/>
        </w:rPr>
        <w:lastRenderedPageBreak/>
        <w:t xml:space="preserve">mudanças provocadas pela substituição daquele átomo.” “Tornou-se óbvio que na </w:t>
      </w:r>
      <w:r w:rsidR="00A30F73" w:rsidRPr="00284DD3">
        <w:rPr>
          <w:rFonts w:eastAsia="Times New Roman" w:cs="Calibri"/>
          <w:sz w:val="24"/>
          <w:szCs w:val="24"/>
          <w:lang w:eastAsia="pt-PT"/>
        </w:rPr>
        <w:t>ausência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 de selénio os danos causados pelo oxigénio são muito mais severos e irreversíveis”, completa o cristalógrafo </w:t>
      </w:r>
      <w:r w:rsidRPr="00284DD3">
        <w:rPr>
          <w:rFonts w:eastAsia="Times New Roman" w:cs="Calibri"/>
          <w:b/>
          <w:sz w:val="24"/>
          <w:szCs w:val="24"/>
          <w:lang w:eastAsia="pt-PT"/>
        </w:rPr>
        <w:t>Pedro Matias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. </w:t>
      </w:r>
    </w:p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t-PT"/>
        </w:rPr>
      </w:pPr>
      <w:r w:rsidRPr="00284DD3">
        <w:rPr>
          <w:rFonts w:eastAsia="Times New Roman" w:cs="Calibri"/>
          <w:sz w:val="24"/>
          <w:szCs w:val="24"/>
          <w:lang w:eastAsia="pt-PT"/>
        </w:rPr>
        <w:t xml:space="preserve">“Uma descoberta inesperada e entusiasmante foi também perceber que sem selénio a enzima não consegue sequer incorporar o níquel de que precisa para funcionar, o que é uma revelação importante para percebermos como se dá a </w:t>
      </w:r>
      <w:r w:rsidR="00A30F73" w:rsidRPr="00284DD3">
        <w:rPr>
          <w:rFonts w:eastAsia="Times New Roman" w:cs="Calibri"/>
          <w:sz w:val="24"/>
          <w:szCs w:val="24"/>
          <w:lang w:eastAsia="pt-PT"/>
        </w:rPr>
        <w:t>biossíntese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 desta molécula, partindo de uma sequência de aminoácidos até à sua estrutura final” explicou </w:t>
      </w:r>
      <w:r w:rsidRPr="00284DD3">
        <w:rPr>
          <w:rFonts w:eastAsia="Times New Roman" w:cs="Calibri"/>
          <w:b/>
          <w:sz w:val="24"/>
          <w:szCs w:val="24"/>
          <w:lang w:eastAsia="pt-PT"/>
        </w:rPr>
        <w:t>Inês Cardoso Pereira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. No entanto, este facto trouxe um grau de dificuldade acrescida a este estudo, pois exigiu a incorporação </w:t>
      </w:r>
      <w:proofErr w:type="gramStart"/>
      <w:r w:rsidRPr="00284DD3">
        <w:rPr>
          <w:rFonts w:eastAsia="Times New Roman" w:cs="Calibri"/>
          <w:i/>
          <w:sz w:val="24"/>
          <w:szCs w:val="24"/>
          <w:lang w:eastAsia="pt-PT"/>
        </w:rPr>
        <w:t>in vitro</w:t>
      </w:r>
      <w:proofErr w:type="gramEnd"/>
      <w:r w:rsidRPr="00284DD3">
        <w:rPr>
          <w:rFonts w:eastAsia="Times New Roman" w:cs="Calibri"/>
          <w:sz w:val="24"/>
          <w:szCs w:val="24"/>
          <w:lang w:eastAsia="pt-PT"/>
        </w:rPr>
        <w:t xml:space="preserve"> do níquel para se poder obter uma enzima funcional. “Este obstáculo foi difícil de ultrapassar, e foi só devido à dedicação e trabalho árduo da aluna de doutoramento </w:t>
      </w:r>
      <w:r w:rsidRPr="00284DD3">
        <w:rPr>
          <w:rFonts w:eastAsia="Times New Roman" w:cs="Calibri"/>
          <w:b/>
          <w:sz w:val="24"/>
          <w:szCs w:val="24"/>
          <w:lang w:eastAsia="pt-PT"/>
        </w:rPr>
        <w:t>Marta C. Marques</w:t>
      </w:r>
      <w:r w:rsidRPr="00284DD3">
        <w:rPr>
          <w:rFonts w:eastAsia="Times New Roman" w:cs="Calibri"/>
          <w:sz w:val="24"/>
          <w:szCs w:val="24"/>
          <w:lang w:eastAsia="pt-PT"/>
        </w:rPr>
        <w:t>, que isso foi possível” reconhece a investigadora.</w:t>
      </w:r>
    </w:p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t-PT"/>
        </w:rPr>
      </w:pPr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A equipa do ITQB NOVA trabalha também no desenvolvimento de aplicações </w:t>
      </w:r>
      <w:proofErr w:type="spellStart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>biocatalíticas</w:t>
      </w:r>
      <w:proofErr w:type="spellEnd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 desta enzima, em conjunto com colaboradores do Instituto de Catálise CSIC em Madrid (laboratório de </w:t>
      </w:r>
      <w:proofErr w:type="spellStart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>Antonio</w:t>
      </w:r>
      <w:proofErr w:type="spellEnd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 de </w:t>
      </w:r>
      <w:proofErr w:type="spellStart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>Lacey</w:t>
      </w:r>
      <w:proofErr w:type="spellEnd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). Em 2016 foram obtidos resultados muito promissores do uso da </w:t>
      </w:r>
      <w:proofErr w:type="spellStart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>hidrogenase</w:t>
      </w:r>
      <w:proofErr w:type="spellEnd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 de [</w:t>
      </w:r>
      <w:proofErr w:type="spellStart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>NiFeSe</w:t>
      </w:r>
      <w:proofErr w:type="spellEnd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] na produção </w:t>
      </w:r>
      <w:proofErr w:type="spellStart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>fotocatalítica</w:t>
      </w:r>
      <w:proofErr w:type="spellEnd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 de hidrogénio e na produção </w:t>
      </w:r>
      <w:proofErr w:type="spellStart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>electroquímica</w:t>
      </w:r>
      <w:proofErr w:type="spellEnd"/>
      <w:r w:rsidRPr="00284DD3">
        <w:rPr>
          <w:rFonts w:eastAsia="Times New Roman" w:cs="Calibri"/>
          <w:bCs/>
          <w:color w:val="000000"/>
          <w:sz w:val="24"/>
          <w:szCs w:val="24"/>
          <w:lang w:eastAsia="pt-PT"/>
        </w:rPr>
        <w:t xml:space="preserve"> de ATP, os quais foram também publicados em revistas científicas de alto impacto. </w:t>
      </w:r>
    </w:p>
    <w:p w:rsidR="003F2709" w:rsidRPr="00284DD3" w:rsidRDefault="003F2709" w:rsidP="003F2709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 w:val="24"/>
          <w:szCs w:val="24"/>
          <w:u w:val="single"/>
          <w:lang w:eastAsia="pt-PT"/>
        </w:rPr>
      </w:pPr>
    </w:p>
    <w:p w:rsidR="003F2709" w:rsidRPr="00284DD3" w:rsidRDefault="003F2709" w:rsidP="003F270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284DD3">
        <w:rPr>
          <w:rFonts w:eastAsia="Times New Roman" w:cs="Calibri"/>
          <w:b/>
          <w:bCs/>
          <w:sz w:val="24"/>
          <w:szCs w:val="24"/>
          <w:u w:val="single"/>
          <w:lang w:eastAsia="pt-PT"/>
        </w:rPr>
        <w:t>Artigo original</w:t>
      </w:r>
    </w:p>
    <w:p w:rsidR="003F2709" w:rsidRPr="00284DD3" w:rsidRDefault="003F2709" w:rsidP="003F270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284DD3">
        <w:rPr>
          <w:rFonts w:eastAsia="Times New Roman" w:cs="Calibri"/>
          <w:b/>
          <w:bCs/>
          <w:sz w:val="24"/>
          <w:szCs w:val="24"/>
          <w:lang w:eastAsia="pt-PT"/>
        </w:rPr>
        <w:t>Marta C. Marques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, Cristina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Tapia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,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Oscar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Gutiérrez-Sanz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, Ana Raquel Ramos,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Kimberly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L.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Keller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,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Judy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D. Wall,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Antonio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 L. De </w:t>
      </w:r>
      <w:proofErr w:type="spellStart"/>
      <w:r w:rsidRPr="00284DD3">
        <w:rPr>
          <w:rFonts w:eastAsia="Times New Roman" w:cs="Calibri"/>
          <w:sz w:val="24"/>
          <w:szCs w:val="24"/>
          <w:lang w:eastAsia="pt-PT"/>
        </w:rPr>
        <w:t>Lacey</w:t>
      </w:r>
      <w:proofErr w:type="spellEnd"/>
      <w:r w:rsidRPr="00284DD3">
        <w:rPr>
          <w:rFonts w:eastAsia="Times New Roman" w:cs="Calibri"/>
          <w:sz w:val="24"/>
          <w:szCs w:val="24"/>
          <w:lang w:eastAsia="pt-PT"/>
        </w:rPr>
        <w:t xml:space="preserve">, </w:t>
      </w:r>
      <w:r w:rsidRPr="00284DD3">
        <w:rPr>
          <w:rFonts w:eastAsia="Times New Roman" w:cs="Calibri"/>
          <w:b/>
          <w:bCs/>
          <w:sz w:val="24"/>
          <w:szCs w:val="24"/>
          <w:lang w:eastAsia="pt-PT"/>
        </w:rPr>
        <w:t>Pedro M. Matias</w:t>
      </w:r>
      <w:r w:rsidRPr="00284DD3">
        <w:rPr>
          <w:rFonts w:eastAsia="Times New Roman" w:cs="Calibri"/>
          <w:sz w:val="24"/>
          <w:szCs w:val="24"/>
          <w:lang w:eastAsia="pt-PT"/>
        </w:rPr>
        <w:t xml:space="preserve">*, </w:t>
      </w:r>
      <w:r w:rsidRPr="00284DD3">
        <w:rPr>
          <w:rFonts w:eastAsia="Times New Roman" w:cs="Calibri"/>
          <w:b/>
          <w:bCs/>
          <w:sz w:val="24"/>
          <w:szCs w:val="24"/>
          <w:lang w:eastAsia="pt-PT"/>
        </w:rPr>
        <w:t>Inês A. C. Pereira</w:t>
      </w:r>
      <w:r w:rsidRPr="00284DD3">
        <w:rPr>
          <w:rFonts w:eastAsia="Times New Roman" w:cs="Calibri"/>
          <w:sz w:val="24"/>
          <w:szCs w:val="24"/>
          <w:lang w:eastAsia="pt-PT"/>
        </w:rPr>
        <w:t>*</w:t>
      </w:r>
    </w:p>
    <w:p w:rsidR="003F2709" w:rsidRPr="00284DD3" w:rsidRDefault="003F2709" w:rsidP="003F2709">
      <w:pPr>
        <w:pStyle w:val="NormalWeb"/>
        <w:rPr>
          <w:rStyle w:val="discreet"/>
          <w:rFonts w:ascii="Calibri" w:hAnsi="Calibri" w:cs="Calibri"/>
          <w:lang w:val="en-US"/>
        </w:rPr>
      </w:pPr>
      <w:hyperlink r:id="rId4" w:history="1">
        <w:r w:rsidRPr="00284DD3">
          <w:rPr>
            <w:rStyle w:val="Hiperligao"/>
            <w:rFonts w:ascii="Calibri" w:hAnsi="Calibri" w:cs="Calibri"/>
            <w:b/>
            <w:bCs/>
            <w:lang w:val="en-US"/>
          </w:rPr>
          <w:t xml:space="preserve">The direct role of </w:t>
        </w:r>
        <w:proofErr w:type="spellStart"/>
        <w:r w:rsidRPr="00284DD3">
          <w:rPr>
            <w:rStyle w:val="Hiperligao"/>
            <w:rFonts w:ascii="Calibri" w:hAnsi="Calibri" w:cs="Calibri"/>
            <w:b/>
            <w:bCs/>
            <w:lang w:val="en-US"/>
          </w:rPr>
          <w:t>selenocysteine</w:t>
        </w:r>
        <w:proofErr w:type="spellEnd"/>
        <w:r w:rsidRPr="00284DD3">
          <w:rPr>
            <w:rStyle w:val="Hiperligao"/>
            <w:rFonts w:ascii="Calibri" w:hAnsi="Calibri" w:cs="Calibri"/>
            <w:b/>
            <w:bCs/>
            <w:lang w:val="en-US"/>
          </w:rPr>
          <w:t xml:space="preserve"> in [</w:t>
        </w:r>
        <w:proofErr w:type="spellStart"/>
        <w:r w:rsidRPr="00284DD3">
          <w:rPr>
            <w:rStyle w:val="Hiperligao"/>
            <w:rFonts w:ascii="Calibri" w:hAnsi="Calibri" w:cs="Calibri"/>
            <w:b/>
            <w:bCs/>
            <w:lang w:val="en-US"/>
          </w:rPr>
          <w:t>NiFeSe</w:t>
        </w:r>
        <w:proofErr w:type="spellEnd"/>
        <w:r w:rsidRPr="00284DD3">
          <w:rPr>
            <w:rStyle w:val="Hiperligao"/>
            <w:rFonts w:ascii="Calibri" w:hAnsi="Calibri" w:cs="Calibri"/>
            <w:b/>
            <w:bCs/>
            <w:lang w:val="en-US"/>
          </w:rPr>
          <w:t xml:space="preserve">] </w:t>
        </w:r>
        <w:proofErr w:type="spellStart"/>
        <w:r w:rsidRPr="00284DD3">
          <w:rPr>
            <w:rStyle w:val="Hiperligao"/>
            <w:rFonts w:ascii="Calibri" w:hAnsi="Calibri" w:cs="Calibri"/>
            <w:b/>
            <w:bCs/>
            <w:lang w:val="en-US"/>
          </w:rPr>
          <w:t>hydrogenase</w:t>
        </w:r>
        <w:proofErr w:type="spellEnd"/>
        <w:r w:rsidRPr="00284DD3">
          <w:rPr>
            <w:rStyle w:val="Hiperligao"/>
            <w:rFonts w:ascii="Calibri" w:hAnsi="Calibri" w:cs="Calibri"/>
            <w:b/>
            <w:bCs/>
            <w:lang w:val="en-US"/>
          </w:rPr>
          <w:t xml:space="preserve"> maturation and catalysis</w:t>
        </w:r>
      </w:hyperlink>
      <w:r w:rsidRPr="00284DD3">
        <w:rPr>
          <w:rFonts w:ascii="Calibri" w:hAnsi="Calibri" w:cs="Calibri"/>
          <w:lang w:val="en-US"/>
        </w:rPr>
        <w:t xml:space="preserve"> </w:t>
      </w:r>
      <w:r w:rsidRPr="00284DD3">
        <w:rPr>
          <w:rFonts w:ascii="Calibri" w:hAnsi="Calibri" w:cs="Calibri"/>
          <w:b/>
          <w:lang w:val="en-US"/>
        </w:rPr>
        <w:t>Nature Chemical Biology, 2007</w:t>
      </w:r>
      <w:r w:rsidRPr="00284DD3">
        <w:rPr>
          <w:rStyle w:val="CabealhoCarcter"/>
          <w:rFonts w:cs="Calibri"/>
          <w:lang w:val="en-US"/>
        </w:rPr>
        <w:t xml:space="preserve"> </w:t>
      </w:r>
      <w:r w:rsidRPr="00284DD3">
        <w:rPr>
          <w:rStyle w:val="discreet"/>
          <w:rFonts w:ascii="Calibri" w:hAnsi="Calibri" w:cs="Calibri"/>
          <w:lang w:val="en-US"/>
        </w:rPr>
        <w:t>doi:10.1038/nchembio.2335</w:t>
      </w:r>
    </w:p>
    <w:p w:rsidR="003F2709" w:rsidRDefault="003F2709" w:rsidP="003F2709">
      <w:pPr>
        <w:pStyle w:val="NormalWeb"/>
        <w:rPr>
          <w:rFonts w:ascii="Calibri" w:hAnsi="Calibri" w:cs="Calibri"/>
          <w:lang w:val="en-US"/>
        </w:rPr>
      </w:pPr>
      <w:hyperlink r:id="rId5" w:history="1">
        <w:r w:rsidRPr="00D7445B">
          <w:rPr>
            <w:rStyle w:val="Hiperligao"/>
            <w:rFonts w:ascii="Calibri" w:hAnsi="Calibri" w:cs="Calibri"/>
            <w:lang w:val="en-US"/>
          </w:rPr>
          <w:t>www.nature.com/nchembio/journal/vaop/ncurrent/full/nchembio.2335.html</w:t>
        </w:r>
      </w:hyperlink>
    </w:p>
    <w:p w:rsidR="003F2709" w:rsidRDefault="003F2709" w:rsidP="003F2709">
      <w:pPr>
        <w:pStyle w:val="NormalWeb"/>
        <w:rPr>
          <w:rFonts w:ascii="Calibri" w:hAnsi="Calibri" w:cs="Calibri"/>
          <w:lang w:val="en-US"/>
        </w:rPr>
      </w:pPr>
    </w:p>
    <w:p w:rsidR="003F2709" w:rsidRPr="003F2709" w:rsidRDefault="003F2709" w:rsidP="003F2709">
      <w:pPr>
        <w:pStyle w:val="NormalWeb"/>
        <w:rPr>
          <w:rFonts w:ascii="Calibri" w:hAnsi="Calibri" w:cs="Calibri"/>
        </w:rPr>
      </w:pPr>
      <w:r w:rsidRPr="003F2709">
        <w:rPr>
          <w:rFonts w:ascii="Calibri" w:hAnsi="Calibri" w:cs="Calibri"/>
        </w:rPr>
        <w:t>ITQB NOVA – Gabinete de Comunicação</w:t>
      </w:r>
    </w:p>
    <w:p w:rsidR="003F2709" w:rsidRPr="003F2709" w:rsidRDefault="003F2709" w:rsidP="003F2709">
      <w:pPr>
        <w:pStyle w:val="NormalWeb"/>
        <w:rPr>
          <w:rFonts w:ascii="Calibri" w:hAnsi="Calibri" w:cs="Calibri"/>
        </w:rPr>
      </w:pPr>
      <w:r w:rsidRPr="003F2709">
        <w:rPr>
          <w:rFonts w:ascii="Calibri" w:hAnsi="Calibri" w:cs="Calibri"/>
        </w:rPr>
        <w:t>Ci</w:t>
      </w:r>
      <w:r>
        <w:rPr>
          <w:rFonts w:ascii="Calibri" w:hAnsi="Calibri" w:cs="Calibri"/>
        </w:rPr>
        <w:t>ência na Imprensa Regional – Ciência Viva</w:t>
      </w:r>
    </w:p>
    <w:p w:rsidR="003F2709" w:rsidRPr="003F2709" w:rsidRDefault="003F2709"/>
    <w:sectPr w:rsidR="003F2709" w:rsidRPr="003F2709" w:rsidSect="00185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F2709"/>
    <w:rsid w:val="001856A8"/>
    <w:rsid w:val="00362D13"/>
    <w:rsid w:val="003F2709"/>
    <w:rsid w:val="00943EA8"/>
    <w:rsid w:val="009C35CE"/>
    <w:rsid w:val="00A3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A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F270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270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F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discreet">
    <w:name w:val="discreet"/>
    <w:rsid w:val="003F2709"/>
  </w:style>
  <w:style w:type="character" w:styleId="Hiperligao">
    <w:name w:val="Hyperlink"/>
    <w:uiPriority w:val="99"/>
    <w:unhideWhenUsed/>
    <w:rsid w:val="003F2709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F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F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ure.com/nchembio/journal/vaop/ncurrent/full/nchembio.2335.html" TargetMode="External"/><Relationship Id="rId4" Type="http://schemas.openxmlformats.org/officeDocument/2006/relationships/hyperlink" Target="http://www.nature.com/nchembio/journal/vaop/ncurrent/full/nchembio.2335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4060</Characters>
  <Application>Microsoft Office Word</Application>
  <DocSecurity>0</DocSecurity>
  <Lines>33</Lines>
  <Paragraphs>9</Paragraphs>
  <ScaleCrop>false</ScaleCrop>
  <Company>PERSONAL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2017-03-21T13:19:00Z</dcterms:created>
  <dcterms:modified xsi:type="dcterms:W3CDTF">2017-03-21T13:25:00Z</dcterms:modified>
</cp:coreProperties>
</file>