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4C" w:rsidRPr="0080624C" w:rsidRDefault="0080624C" w:rsidP="0080624C">
      <w:pPr>
        <w:shd w:val="clear" w:color="auto" w:fill="FFFFFF"/>
        <w:spacing w:after="0" w:line="488" w:lineRule="atLeast"/>
        <w:outlineLvl w:val="0"/>
        <w:rPr>
          <w:rFonts w:eastAsia="Times New Roman" w:cstheme="minorHAnsi"/>
          <w:b/>
          <w:bCs/>
          <w:color w:val="202020"/>
          <w:kern w:val="36"/>
          <w:sz w:val="28"/>
          <w:szCs w:val="28"/>
          <w:lang w:eastAsia="pt-PT"/>
        </w:rPr>
      </w:pPr>
      <w:r w:rsidRPr="00163896">
        <w:rPr>
          <w:rFonts w:eastAsia="Times New Roman" w:cstheme="minorHAnsi"/>
          <w:b/>
          <w:bCs/>
          <w:color w:val="202020"/>
          <w:kern w:val="36"/>
          <w:sz w:val="28"/>
          <w:szCs w:val="28"/>
          <w:lang w:eastAsia="pt-PT"/>
        </w:rPr>
        <w:t>Humanos pré-históricos já formavam grupos que viviam em redes sociais complexas há 34 mil anos</w:t>
      </w:r>
    </w:p>
    <w:p w:rsidR="002C2BE2" w:rsidRPr="00163896" w:rsidRDefault="002C2BE2">
      <w:pPr>
        <w:rPr>
          <w:rFonts w:cstheme="minorHAnsi"/>
          <w:sz w:val="24"/>
          <w:szCs w:val="24"/>
        </w:rPr>
      </w:pPr>
    </w:p>
    <w:p w:rsidR="001E1787" w:rsidRPr="00163896" w:rsidRDefault="001E1787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Style w:val="Forte"/>
          <w:rFonts w:cstheme="minorHAnsi"/>
          <w:color w:val="202020"/>
          <w:sz w:val="24"/>
          <w:szCs w:val="24"/>
          <w:shd w:val="clear" w:color="auto" w:fill="FFFFFF"/>
        </w:rPr>
        <w:t>Um novo estudo</w:t>
      </w:r>
      <w:r w:rsidR="0080624C" w:rsidRPr="00163896">
        <w:rPr>
          <w:rStyle w:val="Forte"/>
          <w:rFonts w:cstheme="minorHAnsi"/>
          <w:color w:val="202020"/>
          <w:sz w:val="24"/>
          <w:szCs w:val="24"/>
          <w:shd w:val="clear" w:color="auto" w:fill="FFFFFF"/>
        </w:rPr>
        <w:t xml:space="preserve">, </w:t>
      </w:r>
      <w:r w:rsidRPr="00163896">
        <w:rPr>
          <w:rStyle w:val="Forte"/>
          <w:rFonts w:cstheme="minorHAnsi"/>
          <w:color w:val="202020"/>
          <w:sz w:val="24"/>
          <w:szCs w:val="24"/>
          <w:shd w:val="clear" w:color="auto" w:fill="FFFFFF"/>
        </w:rPr>
        <w:t>p</w:t>
      </w:r>
      <w:bookmarkStart w:id="0" w:name="_GoBack"/>
      <w:bookmarkEnd w:id="0"/>
      <w:r w:rsidRPr="00163896">
        <w:rPr>
          <w:rStyle w:val="Forte"/>
          <w:rFonts w:cstheme="minorHAnsi"/>
          <w:color w:val="202020"/>
          <w:sz w:val="24"/>
          <w:szCs w:val="24"/>
          <w:shd w:val="clear" w:color="auto" w:fill="FFFFFF"/>
        </w:rPr>
        <w:t xml:space="preserve">ublicado na revista científica </w:t>
      </w:r>
      <w:proofErr w:type="spellStart"/>
      <w:r w:rsidR="0080624C" w:rsidRPr="00163896">
        <w:rPr>
          <w:rStyle w:val="nfase"/>
          <w:rFonts w:cstheme="minorHAnsi"/>
          <w:b/>
          <w:bCs/>
          <w:color w:val="202020"/>
          <w:sz w:val="24"/>
          <w:szCs w:val="24"/>
          <w:shd w:val="clear" w:color="auto" w:fill="FFFFFF"/>
        </w:rPr>
        <w:t>Science</w:t>
      </w:r>
      <w:proofErr w:type="spellEnd"/>
      <w:r w:rsidR="0080624C" w:rsidRPr="00163896">
        <w:rPr>
          <w:rStyle w:val="Forte"/>
          <w:rFonts w:cstheme="minorHAnsi"/>
          <w:color w:val="202020"/>
          <w:sz w:val="24"/>
          <w:szCs w:val="24"/>
          <w:shd w:val="clear" w:color="auto" w:fill="FFFFFF"/>
        </w:rPr>
        <w:t>, de</w:t>
      </w:r>
      <w:r w:rsidRPr="00163896">
        <w:rPr>
          <w:rStyle w:val="Forte"/>
          <w:rFonts w:cstheme="minorHAnsi"/>
          <w:color w:val="202020"/>
          <w:sz w:val="24"/>
          <w:szCs w:val="24"/>
          <w:shd w:val="clear" w:color="auto" w:fill="FFFFFF"/>
        </w:rPr>
        <w:t>monstra que há pelo menos 34 mil</w:t>
      </w:r>
      <w:r w:rsidR="0080624C" w:rsidRPr="00163896">
        <w:rPr>
          <w:rStyle w:val="Forte"/>
          <w:rFonts w:cstheme="minorHAnsi"/>
          <w:color w:val="202020"/>
          <w:sz w:val="24"/>
          <w:szCs w:val="24"/>
          <w:shd w:val="clear" w:color="auto" w:fill="FFFFFF"/>
        </w:rPr>
        <w:t xml:space="preserve"> anos os grupos de seres humanos caçadores-recolectores já tinham desenvolvido redes sociais complexas. Estas redes sociais eram constituídas por pequenos grupos de indivíduos ligados a uma rede mais ampla de grupos entre os quais os parceiros sexuais eram escolhidos, o que lhes permitia evitar os riscos da endogamia – a reprodução sexual entre indivíduos consanguíneos, da mesma família.</w:t>
      </w:r>
    </w:p>
    <w:p w:rsidR="001E1787" w:rsidRPr="00163896" w:rsidRDefault="0080624C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As espécies animais desenvolveram diversos mecanismos que lhes permitem evitar os riscos da endogamia. No caso dos humanos, estes mecanismos incluem complexas estratégias </w:t>
      </w:r>
      <w:proofErr w:type="spell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sócio-económicas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, que ampliam as vantagens de partilhar recursos com indivíduos que não sejam familiares diretos. Tais estratégias moldam a diversidade social e cultural entre os caçadores-recolectores e outras pequenas sociedades atuais, mas o momento no qual estas estr</w:t>
      </w:r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>atégias surgiram não é claro.</w:t>
      </w:r>
    </w:p>
    <w:p w:rsidR="001E1787" w:rsidRPr="00163896" w:rsidRDefault="0080624C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Neste estudo, os investigadores analisaram a informação genética dos restos mortais de humanos anatomicamente modernos, da</w:t>
      </w:r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nossa espécie </w:t>
      </w:r>
      <w:r w:rsidRPr="00163896">
        <w:rPr>
          <w:rStyle w:val="nfase"/>
          <w:rFonts w:cstheme="minorHAnsi"/>
          <w:color w:val="202020"/>
          <w:sz w:val="24"/>
          <w:szCs w:val="24"/>
          <w:shd w:val="clear" w:color="auto" w:fill="FFFFFF"/>
        </w:rPr>
        <w:t>Homo sapiens</w:t>
      </w:r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>, com cerca de 34 mil</w:t>
      </w: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anos. Estes restos mortais encontravam-se enterrados em </w:t>
      </w:r>
      <w:proofErr w:type="spell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Sunghir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, um local arqueológico do Paleolítico Superior situado a cerca de duzentos quilómetros a este de Moscovo (Rússia). As ossadas correspondem a quatro indivíduos que viveram na mesma altura: um homem adulto, duas crianças enterradas juntas, e um fémur simbolicamente modificado de outro adulto. Para surpresa dos investigadores, os resultados revelaram que os indivíduos não eram próximos do ponto de v</w:t>
      </w:r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>ista genético.</w:t>
      </w:r>
    </w:p>
    <w:p w:rsidR="001E1787" w:rsidRPr="00163896" w:rsidRDefault="0080624C">
      <w:pPr>
        <w:rPr>
          <w:rFonts w:cstheme="minorHAnsi"/>
          <w:color w:val="202020"/>
          <w:sz w:val="24"/>
          <w:szCs w:val="24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“Contrariamente ao esperado se estes indivíduos vivessem em grupos familiares isolados, as análises genéticas permitiram concluir que as duas crianças enterradas juntas não eram </w:t>
      </w:r>
      <w:proofErr w:type="gram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irmãs</w:t>
      </w:r>
      <w:proofErr w:type="gram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mas sim, no máximo, primas em segundo grau”, explica Vítor Sousa, atualmente investigador do</w:t>
      </w:r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hyperlink r:id="rId4" w:tgtFrame="_blank" w:history="1"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cE3c – Centro de Ecologia, Evolução e Alterações Ambientais</w:t>
        </w:r>
      </w:hyperlink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, sediado na Faculdade de Ciências da Universidade de Lisboa (FCUL). O investigador, que iniciou este estudo durante um pós-doutoramento na Universidade de Berna (Suíça) e o concluiu já integrado no cE3c, foi o responsável pela análise dos genomas dos quatro indivíduos para investigar a relação entre os indivíduos de </w:t>
      </w:r>
      <w:proofErr w:type="spell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Sunghir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, os humanos modernos e os Neandertais.</w:t>
      </w:r>
    </w:p>
    <w:p w:rsidR="001E1787" w:rsidRPr="00163896" w:rsidRDefault="0080624C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Estes resultados sugerem que os primeiros humanos modernos procuravam voluntariamente parceiros sexuais para lá da sua família mais próxima. Provavelmente os seus grupos sociais estavam ligados a uma rede mais ampla de grupos dentro dos quais os parceiros sexuais eram escolhidos</w:t>
      </w:r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>, evitando assim a endogamia.</w:t>
      </w:r>
    </w:p>
    <w:p w:rsidR="001E1787" w:rsidRPr="00163896" w:rsidRDefault="0080624C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Este estudo resulta da colaboração de uma equipa internacional, liderada pelas Universidades de Cambridge (Reino Unido) e de Copenhaga (Dinamarca). </w:t>
      </w:r>
      <w:proofErr w:type="spell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Eske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Willerslev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, coordenador do estudo e investigador em ambas as universidades, frisa: </w:t>
      </w: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lastRenderedPageBreak/>
        <w:t>“Estes resultados significam que os seres humanos do Paleolítico Superior, que viviam em pequenos grupos, compreendiam a importância de evitar a endogamia. Os dados que temos sugerem que a endogamia era evitada de forma propositada. Se estes pequenos grupos de caçadores e recolectores se estivessem a reproduzir de forma aleatória, veríamos evidências muito superiores de endogamia d</w:t>
      </w:r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>o que aquelas que observamos”.</w:t>
      </w:r>
    </w:p>
    <w:p w:rsidR="001E1787" w:rsidRPr="00163896" w:rsidRDefault="0080624C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“Pela primeira vez conseguimos sequenciar os genomas de vários membros de um grupo de indivíduos que viveu no Paleolítico. Até aqui, a maior parte dos dados provinham de sítios arqueológicos com apenas um </w:t>
      </w:r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>individuo</w:t>
      </w: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, o que não permitia responder a questões sobre a composição e evolução dos grupos sociais na nossa espécie. Estes dados são importantes para compreender como é que os humanos conseguiram colonizar praticamente todo o planeta, e qual o papel da migração e dos contactos dos humanos modernos com os Neandertais. A nossa diversidade genética atual resulta dessa história de migração e contactos entre grupos. Perceber como é que isso ocorreu é fundamental para por exemplo descobrir quais </w:t>
      </w:r>
      <w:proofErr w:type="gram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os genes associados a doenças complexas, como o cancro ou a di</w:t>
      </w:r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>abetes”, conclui</w:t>
      </w:r>
      <w:proofErr w:type="gramEnd"/>
      <w:r w:rsidR="001E1787"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Vítor Sousa.</w:t>
      </w:r>
    </w:p>
    <w:p w:rsidR="0080624C" w:rsidRPr="00163896" w:rsidRDefault="0080624C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Os investigadores sugerem também que o desenvolvimento precoce destas redes sociais complexas pode explicar, pelo menos em parte, o motivo pelo qual os seres humanos modernos foram </w:t>
      </w:r>
      <w:proofErr w:type="gram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bem sucedidos</w:t>
      </w:r>
      <w:proofErr w:type="gram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- enquanto que outras espécies rivais, como os Neandertais, não o foram. No entanto, é necessário obter informação genómica mais antiga tanto dos primeiros humanos modernos como dos Neand</w:t>
      </w: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ertais para testar esta ideia.</w:t>
      </w:r>
    </w:p>
    <w:p w:rsidR="0080624C" w:rsidRPr="00163896" w:rsidRDefault="0080624C">
      <w:pPr>
        <w:rPr>
          <w:rStyle w:val="Forte"/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Style w:val="Forte"/>
          <w:rFonts w:cstheme="minorHAnsi"/>
          <w:color w:val="202020"/>
          <w:sz w:val="24"/>
          <w:szCs w:val="24"/>
          <w:shd w:val="clear" w:color="auto" w:fill="FFFFFF"/>
        </w:rPr>
        <w:t xml:space="preserve">Referência do artigo </w:t>
      </w:r>
    </w:p>
    <w:p w:rsidR="0080624C" w:rsidRPr="00163896" w:rsidRDefault="0080624C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M. </w:t>
      </w:r>
      <w:proofErr w:type="spell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Sikora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et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al.</w:t>
      </w: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hyperlink r:id="rId5" w:tgtFrame="_blank" w:history="1"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Ancient</w:t>
        </w:r>
        <w:proofErr w:type="spellEnd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genomes</w:t>
        </w:r>
        <w:proofErr w:type="spellEnd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 xml:space="preserve"> show social </w:t>
        </w:r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and</w:t>
        </w:r>
        <w:proofErr w:type="spellEnd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reproductive</w:t>
        </w:r>
        <w:proofErr w:type="spellEnd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behavior</w:t>
        </w:r>
        <w:proofErr w:type="spellEnd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of</w:t>
        </w:r>
        <w:proofErr w:type="spellEnd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early</w:t>
        </w:r>
        <w:proofErr w:type="spellEnd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Upper</w:t>
        </w:r>
        <w:proofErr w:type="spellEnd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Paleolithic</w:t>
        </w:r>
        <w:proofErr w:type="spellEnd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163896">
          <w:rPr>
            <w:rStyle w:val="Hiperligao"/>
            <w:rFonts w:cstheme="minorHAnsi"/>
            <w:color w:val="2BAADF"/>
            <w:sz w:val="24"/>
            <w:szCs w:val="24"/>
            <w:shd w:val="clear" w:color="auto" w:fill="FFFFFF"/>
          </w:rPr>
          <w:t>foragers</w:t>
        </w:r>
        <w:proofErr w:type="spellEnd"/>
      </w:hyperlink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. </w:t>
      </w:r>
      <w:proofErr w:type="spellStart"/>
      <w:r w:rsidRPr="00163896">
        <w:rPr>
          <w:rStyle w:val="nfase"/>
          <w:rFonts w:cstheme="minorHAnsi"/>
          <w:color w:val="202020"/>
          <w:sz w:val="24"/>
          <w:szCs w:val="24"/>
          <w:shd w:val="clear" w:color="auto" w:fill="FFFFFF"/>
        </w:rPr>
        <w:t>Science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. Publicado online a 5 outubro, 2017. </w:t>
      </w:r>
      <w:proofErr w:type="spell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doi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: 10.1126/</w:t>
      </w:r>
      <w:proofErr w:type="gram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science.aao</w:t>
      </w:r>
      <w:proofErr w:type="gram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1807</w:t>
      </w:r>
    </w:p>
    <w:p w:rsidR="0080624C" w:rsidRPr="00163896" w:rsidRDefault="0080624C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:rsidR="0031685F" w:rsidRPr="00163896" w:rsidRDefault="0031685F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Legenda da figura anexa:</w:t>
      </w:r>
    </w:p>
    <w:p w:rsidR="0031685F" w:rsidRPr="00163896" w:rsidRDefault="0031685F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 xml:space="preserve">Detalhe de um dos locais onde se encontravam enterrados restos mortais em </w:t>
      </w:r>
      <w:proofErr w:type="spellStart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Sunghir</w:t>
      </w:r>
      <w:proofErr w:type="spellEnd"/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, na Rússia. Neste estudo, os investigadores sequenciaram os genomas de quatro indivíduos enterrados no local e descobriram que eles eram, no máximo, primos em segundo grau, indicando que eles estabeleceram relações sexuais para além do seu grupo social e familiar mais próximo.</w:t>
      </w:r>
    </w:p>
    <w:p w:rsidR="0031685F" w:rsidRPr="00163896" w:rsidRDefault="0031685F">
      <w:pPr>
        <w:rPr>
          <w:rFonts w:cstheme="minorHAnsi"/>
          <w:color w:val="202020"/>
          <w:sz w:val="24"/>
          <w:szCs w:val="24"/>
          <w:shd w:val="clear" w:color="auto" w:fill="FFFFFF"/>
        </w:rPr>
      </w:pPr>
    </w:p>
    <w:p w:rsidR="0080624C" w:rsidRPr="00163896" w:rsidRDefault="0080624C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Gabinete de Comunicação do cE3c - Centro de Ecologia, Evolução e Alterações Ambientais</w:t>
      </w:r>
    </w:p>
    <w:p w:rsidR="0080624C" w:rsidRPr="00163896" w:rsidRDefault="0080624C">
      <w:pPr>
        <w:rPr>
          <w:rFonts w:cstheme="minorHAnsi"/>
          <w:sz w:val="24"/>
          <w:szCs w:val="24"/>
        </w:rPr>
      </w:pPr>
      <w:r w:rsidRPr="00163896">
        <w:rPr>
          <w:rFonts w:cstheme="minorHAnsi"/>
          <w:color w:val="202020"/>
          <w:sz w:val="24"/>
          <w:szCs w:val="24"/>
          <w:shd w:val="clear" w:color="auto" w:fill="FFFFFF"/>
        </w:rPr>
        <w:t>Ciência na Imprensa Regional – Ciência Viva</w:t>
      </w:r>
    </w:p>
    <w:sectPr w:rsidR="0080624C" w:rsidRPr="00163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1"/>
    <w:rsid w:val="00163896"/>
    <w:rsid w:val="001E1787"/>
    <w:rsid w:val="002C2BE2"/>
    <w:rsid w:val="0031685F"/>
    <w:rsid w:val="0080624C"/>
    <w:rsid w:val="00C26C8F"/>
    <w:rsid w:val="00E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019D"/>
  <w15:chartTrackingRefBased/>
  <w15:docId w15:val="{6E8F34A2-F8B4-4AC3-90B0-708BF4BB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806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80624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80624C"/>
    <w:rPr>
      <w:b/>
      <w:bCs/>
    </w:rPr>
  </w:style>
  <w:style w:type="character" w:styleId="nfase">
    <w:name w:val="Emphasis"/>
    <w:basedOn w:val="Tipodeletrapredefinidodopargrafo"/>
    <w:uiPriority w:val="20"/>
    <w:qFormat/>
    <w:rsid w:val="0080624C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806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ience.sciencemag.org/lookup/doi/10.1126/science.aao1807" TargetMode="External"/><Relationship Id="rId4" Type="http://schemas.openxmlformats.org/officeDocument/2006/relationships/hyperlink" Target="http://ce3c.ciencias.ulisbo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850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2017-10-06T11:13:00Z</dcterms:created>
  <dcterms:modified xsi:type="dcterms:W3CDTF">2017-10-06T11:18:00Z</dcterms:modified>
</cp:coreProperties>
</file>