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97E07" w14:textId="58FCEAF1" w:rsidR="002C2BE2" w:rsidRPr="00A520E9" w:rsidRDefault="00A520E9">
      <w:pPr>
        <w:rPr>
          <w:rFonts w:eastAsia="Times New Roman" w:cstheme="minorHAnsi"/>
          <w:b/>
          <w:bCs/>
          <w:sz w:val="32"/>
          <w:szCs w:val="32"/>
          <w:lang w:eastAsia="pt-PT"/>
        </w:rPr>
      </w:pPr>
      <w:r w:rsidRPr="00A520E9">
        <w:rPr>
          <w:rFonts w:eastAsia="Times New Roman" w:cstheme="minorHAnsi"/>
          <w:b/>
          <w:bCs/>
          <w:sz w:val="32"/>
          <w:szCs w:val="32"/>
          <w:lang w:eastAsia="pt-PT"/>
        </w:rPr>
        <w:t xml:space="preserve">Novo </w:t>
      </w:r>
      <w:r w:rsidRPr="00A520E9">
        <w:rPr>
          <w:rFonts w:eastAsia="Times New Roman" w:cstheme="minorHAnsi"/>
          <w:b/>
          <w:bCs/>
          <w:sz w:val="32"/>
          <w:szCs w:val="32"/>
          <w:lang w:eastAsia="pt-PT"/>
        </w:rPr>
        <w:t>algoritmo de Inteligência Artificial inovador</w:t>
      </w:r>
    </w:p>
    <w:p w14:paraId="79CE0693" w14:textId="6FDF2C3C" w:rsidR="00A520E9" w:rsidRPr="00A520E9" w:rsidRDefault="00A520E9">
      <w:pPr>
        <w:rPr>
          <w:rFonts w:cstheme="minorHAnsi"/>
          <w:sz w:val="24"/>
          <w:szCs w:val="24"/>
        </w:rPr>
      </w:pPr>
    </w:p>
    <w:p w14:paraId="4EC2C6C1" w14:textId="77777777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520E9">
        <w:rPr>
          <w:rFonts w:eastAsia="Times New Roman" w:cstheme="minorHAnsi"/>
          <w:sz w:val="24"/>
          <w:szCs w:val="24"/>
          <w:lang w:eastAsia="pt-PT"/>
        </w:rPr>
        <w:t>Quatro investigadores do Centro de Informática e Sistemas da Universidade de Coimbra (CISUC) desenvolveram uma abordagem vanguardista para automatizar processos de aprendizagem no campo da visão computacional.</w:t>
      </w:r>
    </w:p>
    <w:p w14:paraId="214FB59A" w14:textId="599F02E7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09F6A679" w14:textId="77777777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520E9">
        <w:rPr>
          <w:rFonts w:eastAsia="Times New Roman" w:cstheme="minorHAnsi"/>
          <w:sz w:val="24"/>
          <w:szCs w:val="24"/>
          <w:lang w:eastAsia="pt-PT"/>
        </w:rPr>
        <w:t xml:space="preserve">Trata-se de um 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t>novo algoritmo de inteligência artificial para a evolução das denominadas redes neuronais</w:t>
      </w:r>
      <w:r w:rsidRPr="00A520E9">
        <w:rPr>
          <w:rFonts w:eastAsia="Times New Roman" w:cstheme="minorHAnsi"/>
          <w:sz w:val="24"/>
          <w:szCs w:val="24"/>
          <w:lang w:eastAsia="pt-PT"/>
        </w:rPr>
        <w:t xml:space="preserve"> (que imitam o comportamento do cérebro) 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t>profundas</w:t>
      </w:r>
      <w:r w:rsidRPr="00A520E9">
        <w:rPr>
          <w:rFonts w:eastAsia="Times New Roman" w:cstheme="minorHAnsi"/>
          <w:sz w:val="24"/>
          <w:szCs w:val="24"/>
          <w:lang w:eastAsia="pt-PT"/>
        </w:rPr>
        <w:t xml:space="preserve">. O DENSER, acrónimo de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Deep</w:t>
      </w:r>
      <w:proofErr w:type="spellEnd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Evolutionary</w:t>
      </w:r>
      <w:proofErr w:type="spellEnd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Network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Structured</w:t>
      </w:r>
      <w:proofErr w:type="spellEnd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Representation</w:t>
      </w:r>
      <w:proofErr w:type="spellEnd"/>
      <w:r w:rsidRPr="00A520E9">
        <w:rPr>
          <w:rFonts w:eastAsia="Times New Roman" w:cstheme="minorHAnsi"/>
          <w:sz w:val="24"/>
          <w:szCs w:val="24"/>
          <w:lang w:eastAsia="pt-PT"/>
        </w:rPr>
        <w:t xml:space="preserve"> (</w:t>
      </w:r>
      <w:hyperlink r:id="rId4" w:history="1">
        <w:r w:rsidRPr="00A520E9">
          <w:rPr>
            <w:rStyle w:val="Hiperligao"/>
            <w:rFonts w:eastAsia="Times New Roman" w:cstheme="minorHAnsi"/>
            <w:sz w:val="24"/>
            <w:szCs w:val="24"/>
            <w:lang w:eastAsia="pt-PT"/>
          </w:rPr>
          <w:t>https://cdv.dei.uc.pt/denser/</w:t>
        </w:r>
      </w:hyperlink>
      <w:r w:rsidRPr="00A520E9">
        <w:rPr>
          <w:rFonts w:eastAsia="Times New Roman" w:cstheme="minorHAnsi"/>
          <w:sz w:val="24"/>
          <w:szCs w:val="24"/>
          <w:lang w:eastAsia="pt-PT"/>
        </w:rPr>
        <w:t>), pode muito bem vir a revolucionar a forma de responder ao problema de classificação do conteúdo de imagens.</w:t>
      </w:r>
    </w:p>
    <w:p w14:paraId="4BFD43D4" w14:textId="4828285B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520E9">
        <w:rPr>
          <w:rFonts w:eastAsia="Times New Roman" w:cstheme="minorHAnsi"/>
          <w:sz w:val="24"/>
          <w:szCs w:val="24"/>
          <w:lang w:eastAsia="pt-PT"/>
        </w:rPr>
        <w:t xml:space="preserve">Na área da Inteligência Artificial e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Machine</w:t>
      </w:r>
      <w:proofErr w:type="spellEnd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Learning</w:t>
      </w:r>
      <w:proofErr w:type="spellEnd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r w:rsidRPr="00A520E9">
        <w:rPr>
          <w:rFonts w:eastAsia="Times New Roman" w:cstheme="minorHAnsi"/>
          <w:sz w:val="24"/>
          <w:szCs w:val="24"/>
          <w:lang w:eastAsia="pt-PT"/>
        </w:rPr>
        <w:t>(aprendizagem de máquina), a classificação de imagens é altamente complexa e enfrenta grandes desafios. O que é compreensível, considerando que, nos humanos, um terço do cérebro é dedicado ao processamento visual, envolvendo centenas de milhões de neurónios.</w:t>
      </w:r>
    </w:p>
    <w:p w14:paraId="51B98EB1" w14:textId="77777777" w:rsidR="00EE2663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520E9">
        <w:rPr>
          <w:rFonts w:eastAsia="Times New Roman" w:cstheme="minorHAnsi"/>
          <w:sz w:val="24"/>
          <w:szCs w:val="24"/>
          <w:lang w:eastAsia="pt-PT"/>
        </w:rPr>
        <w:t xml:space="preserve">Desenvolvido no âmbito de um projeto de investigação financiado pela Fundação para a Ciência e Tecnologia (FCT), o DENSER tem vindo a despertar o interesse da comunidade científica e será apresentado na próxima </w:t>
      </w:r>
      <w:proofErr w:type="spellStart"/>
      <w:r w:rsidRPr="00A520E9">
        <w:rPr>
          <w:rFonts w:eastAsia="Times New Roman" w:cstheme="minorHAnsi"/>
          <w:sz w:val="24"/>
          <w:szCs w:val="24"/>
          <w:lang w:eastAsia="pt-PT"/>
        </w:rPr>
        <w:t>EvoStar</w:t>
      </w:r>
      <w:proofErr w:type="spellEnd"/>
      <w:r w:rsidRPr="00A520E9">
        <w:rPr>
          <w:rFonts w:eastAsia="Times New Roman" w:cstheme="minorHAnsi"/>
          <w:sz w:val="24"/>
          <w:szCs w:val="24"/>
          <w:lang w:eastAsia="pt-PT"/>
        </w:rPr>
        <w:t xml:space="preserve">, a mais importante conferência europeia na área da computação evolucionária (computação de inspiração biológica para resolver problemas de elevada complexidade). Destaca-se das abordagens convencionais ao 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t>não exigir intervenção humana</w:t>
      </w:r>
      <w:r w:rsidRPr="00A520E9">
        <w:rPr>
          <w:rFonts w:eastAsia="Times New Roman" w:cstheme="minorHAnsi"/>
          <w:sz w:val="24"/>
          <w:szCs w:val="24"/>
          <w:lang w:eastAsia="pt-PT"/>
        </w:rPr>
        <w:t>,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t xml:space="preserve"> não usar conhecimento prévio</w:t>
      </w:r>
      <w:r w:rsidRPr="00A520E9">
        <w:rPr>
          <w:rFonts w:eastAsia="Times New Roman" w:cstheme="minorHAnsi"/>
          <w:bCs/>
          <w:i/>
          <w:iCs/>
          <w:sz w:val="24"/>
          <w:szCs w:val="24"/>
          <w:lang w:eastAsia="pt-PT"/>
        </w:rPr>
        <w:t xml:space="preserve"> 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t>sobre o domínio e por ser uma solução de baixo custo</w:t>
      </w:r>
      <w:r w:rsidRPr="00A520E9">
        <w:rPr>
          <w:rFonts w:eastAsia="Times New Roman" w:cstheme="minorHAnsi"/>
          <w:sz w:val="24"/>
          <w:szCs w:val="24"/>
          <w:lang w:eastAsia="pt-PT"/>
        </w:rPr>
        <w:t xml:space="preserve">. </w:t>
      </w:r>
    </w:p>
    <w:p w14:paraId="2F5B18BB" w14:textId="436D433F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520E9">
        <w:rPr>
          <w:rFonts w:eastAsia="Times New Roman" w:cstheme="minorHAnsi"/>
          <w:sz w:val="24"/>
          <w:szCs w:val="24"/>
          <w:lang w:eastAsia="pt-PT"/>
        </w:rPr>
        <w:t xml:space="preserve">Comparativamente com outras técnicas, a desenvolvida na UC apresenta duas grandes vantagens, como explicam os coordenadores do projeto, Bernardete Ribeiro e </w:t>
      </w:r>
      <w:proofErr w:type="spellStart"/>
      <w:r w:rsidRPr="00A520E9">
        <w:rPr>
          <w:rFonts w:eastAsia="Times New Roman" w:cstheme="minorHAnsi"/>
          <w:sz w:val="24"/>
          <w:szCs w:val="24"/>
          <w:lang w:eastAsia="pt-PT"/>
        </w:rPr>
        <w:t>Penousal</w:t>
      </w:r>
      <w:proofErr w:type="spellEnd"/>
      <w:r w:rsidRPr="00A520E9">
        <w:rPr>
          <w:rFonts w:eastAsia="Times New Roman" w:cstheme="minorHAnsi"/>
          <w:sz w:val="24"/>
          <w:szCs w:val="24"/>
          <w:lang w:eastAsia="pt-PT"/>
        </w:rPr>
        <w:t xml:space="preserve"> Machado: «na maioria das abordagens a este problema 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t>otimizam-se os parâmetros de uma rede que, à partida, obtém uma performance elevada; na nossa abordagem a rede é evoluída de raiz, ou seja, sem intervenção humana</w:t>
      </w:r>
      <w:r w:rsidRPr="00A520E9">
        <w:rPr>
          <w:rFonts w:eastAsia="Times New Roman" w:cstheme="minorHAnsi"/>
          <w:sz w:val="24"/>
          <w:szCs w:val="24"/>
          <w:lang w:eastAsia="pt-PT"/>
        </w:rPr>
        <w:t>.»</w:t>
      </w:r>
    </w:p>
    <w:p w14:paraId="6041A546" w14:textId="6EE3C9AF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520E9">
        <w:rPr>
          <w:rFonts w:eastAsia="Times New Roman" w:cstheme="minorHAnsi"/>
          <w:sz w:val="24"/>
          <w:szCs w:val="24"/>
          <w:lang w:eastAsia="pt-PT"/>
        </w:rPr>
        <w:t>Para se perceber melhor a diferença, os cientistas recorrem a uma analogia. «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t xml:space="preserve">O que a maioria faz é afinar um </w:t>
      </w:r>
      <w:proofErr w:type="spellStart"/>
      <w:r w:rsidRPr="00A520E9">
        <w:rPr>
          <w:rFonts w:eastAsia="Times New Roman" w:cstheme="minorHAnsi"/>
          <w:bCs/>
          <w:sz w:val="24"/>
          <w:szCs w:val="24"/>
          <w:lang w:eastAsia="pt-PT"/>
        </w:rPr>
        <w:t>Bugatti</w:t>
      </w:r>
      <w:proofErr w:type="spellEnd"/>
      <w:r w:rsidRPr="00A520E9">
        <w:rPr>
          <w:rFonts w:eastAsia="Times New Roman" w:cstheme="minorHAnsi"/>
          <w:bCs/>
          <w:sz w:val="24"/>
          <w:szCs w:val="24"/>
          <w:lang w:eastAsia="pt-PT"/>
        </w:rPr>
        <w:t xml:space="preserve"> </w:t>
      </w:r>
      <w:proofErr w:type="spellStart"/>
      <w:r w:rsidRPr="00A520E9">
        <w:rPr>
          <w:rFonts w:eastAsia="Times New Roman" w:cstheme="minorHAnsi"/>
          <w:bCs/>
          <w:sz w:val="24"/>
          <w:szCs w:val="24"/>
          <w:lang w:eastAsia="pt-PT"/>
        </w:rPr>
        <w:t>Veyron</w:t>
      </w:r>
      <w:proofErr w:type="spellEnd"/>
      <w:r w:rsidRPr="00A520E9">
        <w:rPr>
          <w:rFonts w:eastAsia="Times New Roman" w:cstheme="minorHAnsi"/>
          <w:bCs/>
          <w:sz w:val="24"/>
          <w:szCs w:val="24"/>
          <w:lang w:eastAsia="pt-PT"/>
        </w:rPr>
        <w:t xml:space="preserve">, um automóvel que, como sabemos, já é bastante 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lastRenderedPageBreak/>
        <w:t>rápido, de forma a conseguir boas performances; o que nós fazemos é dar ao algoritmo um conjunto de peças (jantes, pneus, peças para o motor, travões, etc.) e deixar que o algoritmo entenda o contexto da situação, isto é, descubra como combinar aquelas peças de forma a construir um veículo que obtenha uma performance competitiva. Mas nem sequer o informamos que tem de ser um carro</w:t>
      </w:r>
      <w:r w:rsidRPr="00A520E9">
        <w:rPr>
          <w:rFonts w:eastAsia="Times New Roman" w:cstheme="minorHAnsi"/>
          <w:sz w:val="24"/>
          <w:szCs w:val="24"/>
          <w:lang w:eastAsia="pt-PT"/>
        </w:rPr>
        <w:t>», ilustram.</w:t>
      </w:r>
    </w:p>
    <w:p w14:paraId="11CE2E99" w14:textId="77777777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520E9">
        <w:rPr>
          <w:rFonts w:eastAsia="Times New Roman" w:cstheme="minorHAnsi"/>
          <w:sz w:val="24"/>
          <w:szCs w:val="24"/>
          <w:lang w:eastAsia="pt-PT"/>
        </w:rPr>
        <w:t>Para comparar a performance das diferentes abordagens, incluindo as convencionais, os investigadores utilizaram o teste CIFAR (constituído por 60 mil imagens), dividido em duas categorias: CIFAR 10 e CIFAR 100, em função do número de classes (por exemplo, tipos de objetos) a identificar nas imagens.</w:t>
      </w:r>
    </w:p>
    <w:p w14:paraId="495C427A" w14:textId="77777777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520E9">
        <w:rPr>
          <w:rFonts w:eastAsia="Times New Roman" w:cstheme="minorHAnsi"/>
          <w:sz w:val="24"/>
          <w:szCs w:val="24"/>
          <w:lang w:eastAsia="pt-PT"/>
        </w:rPr>
        <w:t xml:space="preserve">O sistema que mais se aproxima da solução arquitetada pelos investigadores da Faculdade de Ciências e Tecnologia da Universidade de Coimbra é o do projeto “Google </w:t>
      </w:r>
      <w:proofErr w:type="spellStart"/>
      <w:r w:rsidRPr="00A520E9">
        <w:rPr>
          <w:rFonts w:eastAsia="Times New Roman" w:cstheme="minorHAnsi"/>
          <w:sz w:val="24"/>
          <w:szCs w:val="24"/>
          <w:lang w:eastAsia="pt-PT"/>
        </w:rPr>
        <w:t>Brain</w:t>
      </w:r>
      <w:proofErr w:type="spellEnd"/>
      <w:r w:rsidRPr="00A520E9">
        <w:rPr>
          <w:rFonts w:eastAsia="Times New Roman" w:cstheme="minorHAnsi"/>
          <w:sz w:val="24"/>
          <w:szCs w:val="24"/>
          <w:lang w:eastAsia="pt-PT"/>
        </w:rPr>
        <w:t>”, da gigante Google, que obtém resultados marginalmente inferiores. Conforme sublinham os outros dois investigadores da equipa, Filipe Assunção e Nuno Lourenço, «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t>eles obtêm um resultado competitivo com o nosso no CIFAR 10, mas não reportam os resultados no CIFAR 100, que é um problema mais difícil. Para além disso, usam algum conhecimento sobre o problema, o que os ajuda a alcançar bons resultados</w:t>
      </w:r>
      <w:r w:rsidRPr="00A520E9">
        <w:rPr>
          <w:rFonts w:eastAsia="Times New Roman" w:cstheme="minorHAnsi"/>
          <w:sz w:val="24"/>
          <w:szCs w:val="24"/>
          <w:lang w:eastAsia="pt-PT"/>
        </w:rPr>
        <w:t>.»</w:t>
      </w:r>
    </w:p>
    <w:p w14:paraId="0AE28830" w14:textId="77777777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A520E9">
        <w:rPr>
          <w:rFonts w:eastAsia="Times New Roman" w:cstheme="minorHAnsi"/>
          <w:sz w:val="24"/>
          <w:szCs w:val="24"/>
          <w:lang w:eastAsia="pt-PT"/>
        </w:rPr>
        <w:t>A outra vantagem é o baixo custo do DENSER. Enquanto os investigadores do projeto “</w:t>
      </w:r>
      <w:r w:rsidRPr="00A520E9">
        <w:rPr>
          <w:rFonts w:eastAsia="Times New Roman" w:cstheme="minorHAnsi"/>
          <w:iCs/>
          <w:sz w:val="24"/>
          <w:szCs w:val="24"/>
          <w:lang w:eastAsia="pt-PT"/>
        </w:rPr>
        <w:t xml:space="preserve">Google </w:t>
      </w:r>
      <w:proofErr w:type="spellStart"/>
      <w:r w:rsidRPr="00A520E9">
        <w:rPr>
          <w:rFonts w:eastAsia="Times New Roman" w:cstheme="minorHAnsi"/>
          <w:iCs/>
          <w:sz w:val="24"/>
          <w:szCs w:val="24"/>
          <w:lang w:eastAsia="pt-PT"/>
        </w:rPr>
        <w:t>Brain</w:t>
      </w:r>
      <w:proofErr w:type="spellEnd"/>
      <w:r w:rsidRPr="00A520E9">
        <w:rPr>
          <w:rFonts w:eastAsia="Times New Roman" w:cstheme="minorHAnsi"/>
          <w:iCs/>
          <w:sz w:val="24"/>
          <w:szCs w:val="24"/>
          <w:lang w:eastAsia="pt-PT"/>
        </w:rPr>
        <w:t>”</w:t>
      </w:r>
      <w:r w:rsidRPr="00A520E9">
        <w:rPr>
          <w:rFonts w:eastAsia="Times New Roman" w:cstheme="minorHAnsi"/>
          <w:sz w:val="24"/>
          <w:szCs w:val="24"/>
          <w:lang w:eastAsia="pt-PT"/>
        </w:rPr>
        <w:t xml:space="preserve"> «</w:t>
      </w:r>
      <w:r w:rsidRPr="00A520E9">
        <w:rPr>
          <w:rFonts w:eastAsia="Times New Roman" w:cstheme="minorHAnsi"/>
          <w:bCs/>
          <w:sz w:val="24"/>
          <w:szCs w:val="24"/>
          <w:lang w:eastAsia="pt-PT"/>
        </w:rPr>
        <w:t xml:space="preserve">usam 800 </w:t>
      </w:r>
      <w:proofErr w:type="spellStart"/>
      <w:r w:rsidRPr="00A520E9">
        <w:rPr>
          <w:rFonts w:eastAsia="Times New Roman" w:cstheme="minorHAnsi"/>
          <w:bCs/>
          <w:sz w:val="24"/>
          <w:szCs w:val="24"/>
          <w:lang w:eastAsia="pt-PT"/>
        </w:rPr>
        <w:t>GPUs</w:t>
      </w:r>
      <w:proofErr w:type="spellEnd"/>
      <w:r w:rsidRPr="00A520E9">
        <w:rPr>
          <w:rFonts w:eastAsia="Times New Roman" w:cstheme="minorHAnsi"/>
          <w:bCs/>
          <w:sz w:val="24"/>
          <w:szCs w:val="24"/>
          <w:lang w:eastAsia="pt-PT"/>
        </w:rPr>
        <w:t xml:space="preserve"> (placas gráficas) topo de gama, nós usamos 4 </w:t>
      </w:r>
      <w:proofErr w:type="spellStart"/>
      <w:r w:rsidRPr="00A520E9">
        <w:rPr>
          <w:rFonts w:eastAsia="Times New Roman" w:cstheme="minorHAnsi"/>
          <w:bCs/>
          <w:sz w:val="24"/>
          <w:szCs w:val="24"/>
          <w:lang w:eastAsia="pt-PT"/>
        </w:rPr>
        <w:t>GPUs</w:t>
      </w:r>
      <w:proofErr w:type="spellEnd"/>
      <w:r w:rsidRPr="00A520E9">
        <w:rPr>
          <w:rFonts w:eastAsia="Times New Roman" w:cstheme="minorHAnsi"/>
          <w:bCs/>
          <w:sz w:val="24"/>
          <w:szCs w:val="24"/>
          <w:lang w:eastAsia="pt-PT"/>
        </w:rPr>
        <w:t xml:space="preserve"> das mais acessíveis, que são usadas, por exemplo, nos videojogos. Para se ter uma ideia, as 800 </w:t>
      </w:r>
      <w:proofErr w:type="spellStart"/>
      <w:r w:rsidRPr="00A520E9">
        <w:rPr>
          <w:rFonts w:eastAsia="Times New Roman" w:cstheme="minorHAnsi"/>
          <w:bCs/>
          <w:sz w:val="24"/>
          <w:szCs w:val="24"/>
          <w:lang w:eastAsia="pt-PT"/>
        </w:rPr>
        <w:t>GPUs</w:t>
      </w:r>
      <w:proofErr w:type="spellEnd"/>
      <w:r w:rsidRPr="00A520E9">
        <w:rPr>
          <w:rFonts w:eastAsia="Times New Roman" w:cstheme="minorHAnsi"/>
          <w:bCs/>
          <w:sz w:val="24"/>
          <w:szCs w:val="24"/>
          <w:lang w:eastAsia="pt-PT"/>
        </w:rPr>
        <w:t xml:space="preserve"> da Google custam 1,3 milhões de euros e </w:t>
      </w:r>
      <w:proofErr w:type="gramStart"/>
      <w:r w:rsidRPr="00A520E9">
        <w:rPr>
          <w:rFonts w:eastAsia="Times New Roman" w:cstheme="minorHAnsi"/>
          <w:bCs/>
          <w:sz w:val="24"/>
          <w:szCs w:val="24"/>
          <w:lang w:eastAsia="pt-PT"/>
        </w:rPr>
        <w:t>as nossas apenas 2.500 euros</w:t>
      </w:r>
      <w:r w:rsidRPr="00A520E9">
        <w:rPr>
          <w:rFonts w:eastAsia="Times New Roman" w:cstheme="minorHAnsi"/>
          <w:sz w:val="24"/>
          <w:szCs w:val="24"/>
          <w:lang w:eastAsia="pt-PT"/>
        </w:rPr>
        <w:t>»</w:t>
      </w:r>
      <w:proofErr w:type="gramEnd"/>
      <w:r w:rsidRPr="00A520E9">
        <w:rPr>
          <w:rFonts w:eastAsia="Times New Roman" w:cstheme="minorHAnsi"/>
          <w:sz w:val="24"/>
          <w:szCs w:val="24"/>
          <w:lang w:eastAsia="pt-PT"/>
        </w:rPr>
        <w:t>, destacam.</w:t>
      </w:r>
    </w:p>
    <w:p w14:paraId="27F97982" w14:textId="77777777" w:rsidR="00A520E9" w:rsidRPr="00A520E9" w:rsidRDefault="00A520E9" w:rsidP="00A520E9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bookmarkStart w:id="0" w:name="_GoBack"/>
      <w:bookmarkEnd w:id="0"/>
      <w:r w:rsidRPr="00A520E9">
        <w:rPr>
          <w:rFonts w:eastAsia="Times New Roman" w:cstheme="minorHAnsi"/>
          <w:sz w:val="24"/>
          <w:szCs w:val="24"/>
          <w:lang w:eastAsia="pt-PT"/>
        </w:rPr>
        <w:t xml:space="preserve">Os resultados do projeto, que podem vir a ser aplicados em vários domínios do conhecimento, decorrem da experiência de mais de duas décadas do CISUC nas áreas da inteligência artificial,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machine</w:t>
      </w:r>
      <w:proofErr w:type="spellEnd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learning</w:t>
      </w:r>
      <w:proofErr w:type="spellEnd"/>
      <w:r w:rsidRPr="00A520E9">
        <w:rPr>
          <w:rFonts w:eastAsia="Times New Roman" w:cstheme="minorHAnsi"/>
          <w:sz w:val="24"/>
          <w:szCs w:val="24"/>
          <w:lang w:eastAsia="pt-PT"/>
        </w:rPr>
        <w:t xml:space="preserve"> e computação evolucionária, e de um esforço e investimento mais recente no domínio da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evolutionary</w:t>
      </w:r>
      <w:proofErr w:type="spellEnd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machine</w:t>
      </w:r>
      <w:proofErr w:type="spellEnd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</w:t>
      </w:r>
      <w:proofErr w:type="spellStart"/>
      <w:r w:rsidRPr="00A520E9">
        <w:rPr>
          <w:rFonts w:eastAsia="Times New Roman" w:cstheme="minorHAnsi"/>
          <w:i/>
          <w:iCs/>
          <w:sz w:val="24"/>
          <w:szCs w:val="24"/>
          <w:lang w:eastAsia="pt-PT"/>
        </w:rPr>
        <w:t>learning</w:t>
      </w:r>
      <w:proofErr w:type="spellEnd"/>
      <w:r w:rsidRPr="00A520E9">
        <w:rPr>
          <w:rFonts w:eastAsia="Times New Roman" w:cstheme="minorHAnsi"/>
          <w:sz w:val="24"/>
          <w:szCs w:val="24"/>
          <w:lang w:eastAsia="pt-PT"/>
        </w:rPr>
        <w:t>.</w:t>
      </w:r>
    </w:p>
    <w:p w14:paraId="5FB0FD4B" w14:textId="3A184485" w:rsidR="00A520E9" w:rsidRPr="00A520E9" w:rsidRDefault="00A520E9" w:rsidP="00A520E9">
      <w:pPr>
        <w:jc w:val="both"/>
        <w:rPr>
          <w:rFonts w:cstheme="minorHAnsi"/>
          <w:sz w:val="24"/>
          <w:szCs w:val="24"/>
        </w:rPr>
      </w:pPr>
    </w:p>
    <w:p w14:paraId="50097855" w14:textId="5FE8419B" w:rsidR="00A520E9" w:rsidRPr="00A520E9" w:rsidRDefault="00A520E9" w:rsidP="00A520E9">
      <w:pPr>
        <w:spacing w:line="360" w:lineRule="auto"/>
        <w:jc w:val="both"/>
        <w:rPr>
          <w:rFonts w:cstheme="minorHAnsi"/>
          <w:sz w:val="24"/>
          <w:szCs w:val="24"/>
        </w:rPr>
      </w:pPr>
      <w:r w:rsidRPr="00A520E9">
        <w:rPr>
          <w:rFonts w:cstheme="minorHAnsi"/>
          <w:sz w:val="24"/>
          <w:szCs w:val="24"/>
        </w:rPr>
        <w:t>Cristina Pinto</w:t>
      </w:r>
      <w:r w:rsidRPr="00A520E9">
        <w:rPr>
          <w:rFonts w:cstheme="minorHAnsi"/>
          <w:sz w:val="24"/>
          <w:szCs w:val="24"/>
        </w:rPr>
        <w:t xml:space="preserve"> (</w:t>
      </w:r>
      <w:r w:rsidRPr="00A520E9">
        <w:rPr>
          <w:rFonts w:cstheme="minorHAnsi"/>
          <w:sz w:val="24"/>
          <w:szCs w:val="24"/>
        </w:rPr>
        <w:t>Assessoria de Imprensa - Universidade de Coimbra</w:t>
      </w:r>
      <w:r w:rsidRPr="00A520E9">
        <w:rPr>
          <w:rFonts w:cstheme="minorHAnsi"/>
          <w:sz w:val="24"/>
          <w:szCs w:val="24"/>
        </w:rPr>
        <w:t>)</w:t>
      </w:r>
    </w:p>
    <w:p w14:paraId="6C29D1E4" w14:textId="0705C296" w:rsidR="00A520E9" w:rsidRPr="00A520E9" w:rsidRDefault="00A520E9" w:rsidP="00A520E9">
      <w:pPr>
        <w:spacing w:line="360" w:lineRule="auto"/>
        <w:jc w:val="both"/>
        <w:rPr>
          <w:rFonts w:cstheme="minorHAnsi"/>
          <w:sz w:val="24"/>
          <w:szCs w:val="24"/>
        </w:rPr>
      </w:pPr>
      <w:r w:rsidRPr="00A520E9">
        <w:rPr>
          <w:rFonts w:cstheme="minorHAnsi"/>
          <w:sz w:val="24"/>
          <w:szCs w:val="24"/>
        </w:rPr>
        <w:t>Ciência na Imprensa Regional – Ciência Viva</w:t>
      </w:r>
    </w:p>
    <w:sectPr w:rsidR="00A520E9" w:rsidRPr="00A52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3C"/>
    <w:rsid w:val="002C2BE2"/>
    <w:rsid w:val="0073743C"/>
    <w:rsid w:val="00A520E9"/>
    <w:rsid w:val="00C26C8F"/>
    <w:rsid w:val="00E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F5D9"/>
  <w15:chartTrackingRefBased/>
  <w15:docId w15:val="{4CE0B76C-9596-4EB9-B1B1-6B0FA03C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A520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v.dei.uc.pt/dense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2018-01-22T15:14:00Z</dcterms:created>
  <dcterms:modified xsi:type="dcterms:W3CDTF">2018-01-22T15:16:00Z</dcterms:modified>
</cp:coreProperties>
</file>