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88" w:rsidRPr="00694CAA" w:rsidRDefault="00694CAA" w:rsidP="00007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tem medo do feminismo?</w:t>
      </w:r>
    </w:p>
    <w:p w:rsidR="00694CAA" w:rsidRPr="00694CAA" w:rsidRDefault="00694CAA" w:rsidP="00007452">
      <w:pPr>
        <w:rPr>
          <w:rFonts w:ascii="Times New Roman" w:hAnsi="Times New Roman" w:cs="Times New Roman"/>
          <w:sz w:val="24"/>
          <w:szCs w:val="24"/>
        </w:rPr>
      </w:pPr>
    </w:p>
    <w:p w:rsidR="00694CAA" w:rsidRPr="0078165A" w:rsidRDefault="0078165A" w:rsidP="00007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contexto da celeuma provocada pelo movimento #</w:t>
      </w:r>
      <w:proofErr w:type="spellStart"/>
      <w:r>
        <w:rPr>
          <w:rFonts w:ascii="Times New Roman" w:hAnsi="Times New Roman" w:cs="Times New Roman"/>
          <w:sz w:val="24"/>
          <w:szCs w:val="24"/>
        </w:rPr>
        <w:t>MeToo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imperioso que reflictamos!</w:t>
      </w:r>
    </w:p>
    <w:p w:rsidR="00694CAA" w:rsidRPr="00694CAA" w:rsidRDefault="00694CAA" w:rsidP="00007452">
      <w:pPr>
        <w:rPr>
          <w:rFonts w:ascii="Times New Roman" w:hAnsi="Times New Roman" w:cs="Times New Roman"/>
          <w:sz w:val="24"/>
          <w:szCs w:val="24"/>
        </w:rPr>
      </w:pPr>
    </w:p>
    <w:p w:rsidR="00694CAA" w:rsidRDefault="00694CAA" w:rsidP="00007452">
      <w:pPr>
        <w:rPr>
          <w:rFonts w:ascii="Times New Roman" w:hAnsi="Times New Roman" w:cs="Times New Roman"/>
          <w:sz w:val="24"/>
          <w:szCs w:val="24"/>
        </w:rPr>
      </w:pPr>
    </w:p>
    <w:p w:rsidR="00694CAA" w:rsidRDefault="00694CAA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contexto do movimento #</w:t>
      </w:r>
      <w:proofErr w:type="spellStart"/>
      <w:r>
        <w:rPr>
          <w:rFonts w:ascii="Times New Roman" w:hAnsi="Times New Roman" w:cs="Times New Roman"/>
          <w:sz w:val="24"/>
          <w:szCs w:val="24"/>
        </w:rPr>
        <w:t>MeToo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resposta surgida em França pela pena de 100 mulheres, a contra-resposta imediata observada naquele país, bem como a </w:t>
      </w:r>
      <w:r w:rsidR="00C26FC5">
        <w:rPr>
          <w:rFonts w:ascii="Times New Roman" w:hAnsi="Times New Roman" w:cs="Times New Roman"/>
          <w:sz w:val="24"/>
          <w:szCs w:val="24"/>
        </w:rPr>
        <w:t>clivagem em face de uma questão que afecta mulheres e homens, obriga-nos, inevitavelmente, a reflectir acerca do feminismo. Sem dúvida que, nos seus fermentos ditos históricos, o feminismo surge no reverso da cidadania burguesa</w:t>
      </w:r>
      <w:r w:rsidR="00ED1F7D">
        <w:rPr>
          <w:rFonts w:ascii="Times New Roman" w:hAnsi="Times New Roman" w:cs="Times New Roman"/>
          <w:sz w:val="24"/>
          <w:szCs w:val="24"/>
        </w:rPr>
        <w:t>,</w:t>
      </w:r>
      <w:r w:rsidR="00C26FC5">
        <w:rPr>
          <w:rFonts w:ascii="Times New Roman" w:hAnsi="Times New Roman" w:cs="Times New Roman"/>
          <w:sz w:val="24"/>
          <w:szCs w:val="24"/>
        </w:rPr>
        <w:t xml:space="preserve"> a qual, </w:t>
      </w:r>
      <w:r w:rsidR="00ED1F7D">
        <w:rPr>
          <w:rFonts w:ascii="Times New Roman" w:hAnsi="Times New Roman" w:cs="Times New Roman"/>
          <w:sz w:val="24"/>
          <w:szCs w:val="24"/>
        </w:rPr>
        <w:t xml:space="preserve">seguindo </w:t>
      </w:r>
      <w:proofErr w:type="spellStart"/>
      <w:r w:rsidR="00C26FC5">
        <w:rPr>
          <w:rFonts w:ascii="Times New Roman" w:hAnsi="Times New Roman" w:cs="Times New Roman"/>
          <w:sz w:val="24"/>
          <w:szCs w:val="24"/>
        </w:rPr>
        <w:t>Joan</w:t>
      </w:r>
      <w:proofErr w:type="spellEnd"/>
      <w:r w:rsidR="00C26FC5">
        <w:rPr>
          <w:rFonts w:ascii="Times New Roman" w:hAnsi="Times New Roman" w:cs="Times New Roman"/>
          <w:sz w:val="24"/>
          <w:szCs w:val="24"/>
        </w:rPr>
        <w:t xml:space="preserve"> B. Landes, se construiu não apenas sem as mulheres, mas claramente contra elas. O século XIX, vestido de fraque e cartola, por um lado, ou ostentando as mazelas de uma industrialização progressiva, por outro, via nos valores femininos uma carta fechada, </w:t>
      </w:r>
      <w:r w:rsidR="00C22438">
        <w:rPr>
          <w:rFonts w:ascii="Times New Roman" w:hAnsi="Times New Roman" w:cs="Times New Roman"/>
          <w:sz w:val="24"/>
          <w:szCs w:val="24"/>
        </w:rPr>
        <w:t>ostentadora</w:t>
      </w:r>
      <w:r w:rsidR="00C26FC5">
        <w:rPr>
          <w:rFonts w:ascii="Times New Roman" w:hAnsi="Times New Roman" w:cs="Times New Roman"/>
          <w:sz w:val="24"/>
          <w:szCs w:val="24"/>
        </w:rPr>
        <w:t xml:space="preserve"> dos segredos de uma líbido cujos perigos vestiram de luto. Todavia, não será </w:t>
      </w:r>
      <w:r w:rsidR="0075662E">
        <w:rPr>
          <w:rFonts w:ascii="Times New Roman" w:hAnsi="Times New Roman" w:cs="Times New Roman"/>
          <w:sz w:val="24"/>
          <w:szCs w:val="24"/>
        </w:rPr>
        <w:t xml:space="preserve">despiciente, por exemplo, lembrarmo-nos de como a figura da prostituta, emparceirando com o anjo branco </w:t>
      </w:r>
      <w:r w:rsidR="0078165A">
        <w:rPr>
          <w:rFonts w:ascii="Times New Roman" w:hAnsi="Times New Roman" w:cs="Times New Roman"/>
          <w:sz w:val="24"/>
          <w:szCs w:val="24"/>
        </w:rPr>
        <w:t>(</w:t>
      </w:r>
      <w:r w:rsidR="0075662E">
        <w:rPr>
          <w:rFonts w:ascii="Times New Roman" w:hAnsi="Times New Roman" w:cs="Times New Roman"/>
          <w:sz w:val="24"/>
          <w:szCs w:val="24"/>
        </w:rPr>
        <w:t>da esposa</w:t>
      </w:r>
      <w:r w:rsidR="0078165A">
        <w:rPr>
          <w:rFonts w:ascii="Times New Roman" w:hAnsi="Times New Roman" w:cs="Times New Roman"/>
          <w:sz w:val="24"/>
          <w:szCs w:val="24"/>
        </w:rPr>
        <w:t>)</w:t>
      </w:r>
      <w:r w:rsidR="0075662E">
        <w:rPr>
          <w:rFonts w:ascii="Times New Roman" w:hAnsi="Times New Roman" w:cs="Times New Roman"/>
          <w:sz w:val="24"/>
          <w:szCs w:val="24"/>
        </w:rPr>
        <w:t>, recobriu o imaginário da arte.</w:t>
      </w:r>
    </w:p>
    <w:p w:rsidR="0075662E" w:rsidRDefault="0075662E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o século XIX, contra o qual lutamos, e do qual provimos ainda, recobre</w:t>
      </w:r>
      <w:r w:rsidR="00ED1F7D">
        <w:rPr>
          <w:rFonts w:ascii="Times New Roman" w:hAnsi="Times New Roman" w:cs="Times New Roman"/>
          <w:sz w:val="24"/>
          <w:szCs w:val="24"/>
        </w:rPr>
        <w:t>-nos</w:t>
      </w:r>
      <w:r>
        <w:rPr>
          <w:rFonts w:ascii="Times New Roman" w:hAnsi="Times New Roman" w:cs="Times New Roman"/>
          <w:sz w:val="24"/>
          <w:szCs w:val="24"/>
        </w:rPr>
        <w:t xml:space="preserve"> como um corvo </w:t>
      </w:r>
      <w:r w:rsidR="00ED1F7D">
        <w:rPr>
          <w:rFonts w:ascii="Times New Roman" w:hAnsi="Times New Roman" w:cs="Times New Roman"/>
          <w:sz w:val="24"/>
          <w:szCs w:val="24"/>
        </w:rPr>
        <w:t xml:space="preserve">negro. Tracejemos o feminismo nos seus fermentos ditos históricos: século XIX, </w:t>
      </w:r>
      <w:r w:rsidR="009823C3">
        <w:rPr>
          <w:rFonts w:ascii="Times New Roman" w:hAnsi="Times New Roman" w:cs="Times New Roman"/>
          <w:sz w:val="24"/>
          <w:szCs w:val="24"/>
        </w:rPr>
        <w:t>a l</w:t>
      </w:r>
      <w:r w:rsidR="00ED1F7D">
        <w:rPr>
          <w:rFonts w:ascii="Times New Roman" w:hAnsi="Times New Roman" w:cs="Times New Roman"/>
          <w:sz w:val="24"/>
          <w:szCs w:val="24"/>
        </w:rPr>
        <w:t>uta pelo espaço público; anos 6</w:t>
      </w:r>
      <w:r w:rsidR="002B1A84">
        <w:rPr>
          <w:rFonts w:ascii="Times New Roman" w:hAnsi="Times New Roman" w:cs="Times New Roman"/>
          <w:sz w:val="24"/>
          <w:szCs w:val="24"/>
        </w:rPr>
        <w:t xml:space="preserve">0-70 do século XX, </w:t>
      </w:r>
      <w:r w:rsidR="0078165A">
        <w:rPr>
          <w:rFonts w:ascii="Times New Roman" w:hAnsi="Times New Roman" w:cs="Times New Roman"/>
          <w:sz w:val="24"/>
          <w:szCs w:val="24"/>
        </w:rPr>
        <w:t xml:space="preserve">a </w:t>
      </w:r>
      <w:r w:rsidR="002B1A84">
        <w:rPr>
          <w:rFonts w:ascii="Times New Roman" w:hAnsi="Times New Roman" w:cs="Times New Roman"/>
          <w:sz w:val="24"/>
          <w:szCs w:val="24"/>
        </w:rPr>
        <w:t>reclamação pel</w:t>
      </w:r>
      <w:r w:rsidR="00C22438">
        <w:rPr>
          <w:rFonts w:ascii="Times New Roman" w:hAnsi="Times New Roman" w:cs="Times New Roman"/>
          <w:sz w:val="24"/>
          <w:szCs w:val="24"/>
        </w:rPr>
        <w:t>o direito à</w:t>
      </w:r>
      <w:r w:rsidR="00ED1F7D">
        <w:rPr>
          <w:rFonts w:ascii="Times New Roman" w:hAnsi="Times New Roman" w:cs="Times New Roman"/>
          <w:sz w:val="24"/>
          <w:szCs w:val="24"/>
        </w:rPr>
        <w:t xml:space="preserve"> vida privada e firmação da igualdade; anos 90 do século XX e em diante,</w:t>
      </w:r>
      <w:r w:rsidR="0078165A">
        <w:rPr>
          <w:rFonts w:ascii="Times New Roman" w:hAnsi="Times New Roman" w:cs="Times New Roman"/>
          <w:sz w:val="24"/>
          <w:szCs w:val="24"/>
        </w:rPr>
        <w:t xml:space="preserve"> a</w:t>
      </w:r>
      <w:r w:rsidR="00ED1F7D">
        <w:rPr>
          <w:rFonts w:ascii="Times New Roman" w:hAnsi="Times New Roman" w:cs="Times New Roman"/>
          <w:sz w:val="24"/>
          <w:szCs w:val="24"/>
        </w:rPr>
        <w:t xml:space="preserve"> percolação das reivindicações anteriores e afinação de valores</w:t>
      </w:r>
      <w:r w:rsidR="003F760B">
        <w:rPr>
          <w:rFonts w:ascii="Times New Roman" w:hAnsi="Times New Roman" w:cs="Times New Roman"/>
          <w:sz w:val="24"/>
          <w:szCs w:val="24"/>
        </w:rPr>
        <w:t>, pugnando pela inscrição na sociedade.</w:t>
      </w:r>
      <w:r w:rsidR="00C22438">
        <w:rPr>
          <w:rFonts w:ascii="Times New Roman" w:hAnsi="Times New Roman" w:cs="Times New Roman"/>
          <w:sz w:val="24"/>
          <w:szCs w:val="24"/>
        </w:rPr>
        <w:t xml:space="preserve"> Todavia, </w:t>
      </w:r>
      <w:r w:rsidR="00ED1F7D">
        <w:rPr>
          <w:rFonts w:ascii="Times New Roman" w:hAnsi="Times New Roman" w:cs="Times New Roman"/>
          <w:sz w:val="24"/>
          <w:szCs w:val="24"/>
        </w:rPr>
        <w:t xml:space="preserve">o feminismo-feminino possui um lastro mais profundo e provém de uma verdadeira história nocturna, no sentido que a esta dá Carlo </w:t>
      </w:r>
      <w:proofErr w:type="spellStart"/>
      <w:r w:rsidR="00ED1F7D">
        <w:rPr>
          <w:rFonts w:ascii="Times New Roman" w:hAnsi="Times New Roman" w:cs="Times New Roman"/>
          <w:sz w:val="24"/>
          <w:szCs w:val="24"/>
        </w:rPr>
        <w:t>Ginzburg</w:t>
      </w:r>
      <w:proofErr w:type="spellEnd"/>
      <w:r w:rsidR="00ED1F7D">
        <w:rPr>
          <w:rFonts w:ascii="Times New Roman" w:hAnsi="Times New Roman" w:cs="Times New Roman"/>
          <w:sz w:val="24"/>
          <w:szCs w:val="24"/>
        </w:rPr>
        <w:t xml:space="preserve">. Curioso, mesmo, é que figuras incontornáveis do espectro feminista, e que são </w:t>
      </w:r>
      <w:r w:rsidR="00596DA2">
        <w:rPr>
          <w:rFonts w:ascii="Times New Roman" w:hAnsi="Times New Roman" w:cs="Times New Roman"/>
          <w:sz w:val="24"/>
          <w:szCs w:val="24"/>
        </w:rPr>
        <w:t xml:space="preserve">quase sempre </w:t>
      </w:r>
      <w:r w:rsidR="00ED1F7D">
        <w:rPr>
          <w:rFonts w:ascii="Times New Roman" w:hAnsi="Times New Roman" w:cs="Times New Roman"/>
          <w:sz w:val="24"/>
          <w:szCs w:val="24"/>
        </w:rPr>
        <w:t xml:space="preserve">trazidas à colação, como é o caso de Simone de Beauvoir, revelem uma clara irritação em face de um problema que se crê ser das mulheres: é com essa irritação que começa </w:t>
      </w:r>
      <w:r w:rsidR="00ED1F7D" w:rsidRPr="00ED1F7D">
        <w:rPr>
          <w:rFonts w:ascii="Times New Roman" w:hAnsi="Times New Roman" w:cs="Times New Roman"/>
          <w:i/>
          <w:sz w:val="24"/>
          <w:szCs w:val="24"/>
        </w:rPr>
        <w:t>O Segundo Sexo</w:t>
      </w:r>
      <w:r w:rsidR="00ED1F7D">
        <w:rPr>
          <w:rFonts w:ascii="Times New Roman" w:hAnsi="Times New Roman" w:cs="Times New Roman"/>
          <w:sz w:val="24"/>
          <w:szCs w:val="24"/>
        </w:rPr>
        <w:t xml:space="preserve">, obra lapidar da filósofa francesa. </w:t>
      </w:r>
    </w:p>
    <w:p w:rsidR="00596DA2" w:rsidRDefault="00596DA2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Relembre</w:t>
      </w:r>
      <w:r w:rsidR="00FA7EBE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, por tal, a abertura do Volume I de </w:t>
      </w:r>
      <w:r w:rsidRPr="00C22438">
        <w:rPr>
          <w:rFonts w:ascii="Times New Roman" w:hAnsi="Times New Roman" w:cs="Times New Roman"/>
          <w:i/>
          <w:sz w:val="24"/>
          <w:szCs w:val="24"/>
        </w:rPr>
        <w:t>O Segundo Sexo</w:t>
      </w:r>
      <w:r>
        <w:rPr>
          <w:rFonts w:ascii="Times New Roman" w:hAnsi="Times New Roman" w:cs="Times New Roman"/>
          <w:sz w:val="24"/>
          <w:szCs w:val="24"/>
        </w:rPr>
        <w:t>: “Hesitei muito tempo em escrever um livro sobre a mulher. O tema é irritante, principalmente para as mulheres. E não é novo. A querela do feminismo fez correr rios de tinta e está agora mais ou menos encerrada. Não toquemos mais nisso…”</w:t>
      </w:r>
      <w:r w:rsidR="00FA7EBE">
        <w:rPr>
          <w:rFonts w:ascii="Times New Roman" w:hAnsi="Times New Roman" w:cs="Times New Roman"/>
          <w:sz w:val="24"/>
          <w:szCs w:val="24"/>
        </w:rPr>
        <w:t xml:space="preserve"> Ano: 1949. É curiosa, de facto, a forma como a questão “feminista” provoca desconforto, apresentando-se a palavra </w:t>
      </w:r>
      <w:r w:rsidR="002B1A84">
        <w:rPr>
          <w:rFonts w:ascii="Times New Roman" w:hAnsi="Times New Roman" w:cs="Times New Roman"/>
          <w:sz w:val="24"/>
          <w:szCs w:val="24"/>
        </w:rPr>
        <w:lastRenderedPageBreak/>
        <w:t xml:space="preserve">tantas vezes </w:t>
      </w:r>
      <w:r w:rsidR="00FA7EBE">
        <w:rPr>
          <w:rFonts w:ascii="Times New Roman" w:hAnsi="Times New Roman" w:cs="Times New Roman"/>
          <w:sz w:val="24"/>
          <w:szCs w:val="24"/>
        </w:rPr>
        <w:t xml:space="preserve">numa asserção transitiva. Por exemplo, Victoria Camps, autora do sintomático </w:t>
      </w:r>
      <w:r w:rsidR="00FA7EBE" w:rsidRPr="00FA7EBE">
        <w:rPr>
          <w:rFonts w:ascii="Times New Roman" w:hAnsi="Times New Roman" w:cs="Times New Roman"/>
          <w:i/>
          <w:sz w:val="24"/>
          <w:szCs w:val="24"/>
        </w:rPr>
        <w:t>O Século das Mulheres</w:t>
      </w:r>
      <w:r w:rsidR="00FA7EBE">
        <w:rPr>
          <w:rFonts w:ascii="Times New Roman" w:hAnsi="Times New Roman" w:cs="Times New Roman"/>
          <w:sz w:val="24"/>
          <w:szCs w:val="24"/>
        </w:rPr>
        <w:t xml:space="preserve">, que </w:t>
      </w:r>
      <w:r w:rsidR="00C22438">
        <w:rPr>
          <w:rFonts w:ascii="Times New Roman" w:hAnsi="Times New Roman" w:cs="Times New Roman"/>
          <w:sz w:val="24"/>
          <w:szCs w:val="24"/>
        </w:rPr>
        <w:t xml:space="preserve">terá sido </w:t>
      </w:r>
      <w:r w:rsidR="00FA7EBE">
        <w:rPr>
          <w:rFonts w:ascii="Times New Roman" w:hAnsi="Times New Roman" w:cs="Times New Roman"/>
          <w:sz w:val="24"/>
          <w:szCs w:val="24"/>
        </w:rPr>
        <w:t xml:space="preserve">o XX, vota-lhe, à palavra, oração fúnebre: chegaria o tempo em que deixaria de ser necessário pronunciá-la, visto ter cumprido o seu plano de acção. Tal plano de acção, geralmente, ancora-se na conquista da igualdade; paradoxalmente, o desconforto assinalado para Simone de </w:t>
      </w:r>
      <w:r w:rsidR="000F733F">
        <w:rPr>
          <w:rFonts w:ascii="Times New Roman" w:hAnsi="Times New Roman" w:cs="Times New Roman"/>
          <w:sz w:val="24"/>
          <w:szCs w:val="24"/>
        </w:rPr>
        <w:t xml:space="preserve">Beauvoir ou para Victoria Camps </w:t>
      </w:r>
      <w:r w:rsidR="00FA7EBE">
        <w:rPr>
          <w:rFonts w:ascii="Times New Roman" w:hAnsi="Times New Roman" w:cs="Times New Roman"/>
          <w:sz w:val="24"/>
          <w:szCs w:val="24"/>
        </w:rPr>
        <w:t xml:space="preserve">escora-se na diferença. </w:t>
      </w:r>
      <w:r w:rsidR="00D039B4">
        <w:rPr>
          <w:rFonts w:ascii="Times New Roman" w:hAnsi="Times New Roman" w:cs="Times New Roman"/>
          <w:sz w:val="24"/>
          <w:szCs w:val="24"/>
        </w:rPr>
        <w:t xml:space="preserve">E será precisamente na polaridade igualdade/diferença que se jogam os dados de uma “política dos sexos”, expressão bem elucidativa de </w:t>
      </w:r>
      <w:proofErr w:type="spellStart"/>
      <w:r w:rsidR="00D039B4">
        <w:rPr>
          <w:rFonts w:ascii="Times New Roman" w:hAnsi="Times New Roman" w:cs="Times New Roman"/>
          <w:sz w:val="24"/>
          <w:szCs w:val="24"/>
        </w:rPr>
        <w:t>Sylviane</w:t>
      </w:r>
      <w:proofErr w:type="spellEnd"/>
      <w:r w:rsidR="00D0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9B4">
        <w:rPr>
          <w:rFonts w:ascii="Times New Roman" w:hAnsi="Times New Roman" w:cs="Times New Roman"/>
          <w:sz w:val="24"/>
          <w:szCs w:val="24"/>
        </w:rPr>
        <w:t>Agacinski</w:t>
      </w:r>
      <w:proofErr w:type="spellEnd"/>
      <w:r w:rsidR="00D039B4">
        <w:rPr>
          <w:rFonts w:ascii="Times New Roman" w:hAnsi="Times New Roman" w:cs="Times New Roman"/>
          <w:sz w:val="24"/>
          <w:szCs w:val="24"/>
        </w:rPr>
        <w:t xml:space="preserve">, que nomeia </w:t>
      </w:r>
      <w:r w:rsidR="002B1A84">
        <w:rPr>
          <w:rFonts w:ascii="Times New Roman" w:hAnsi="Times New Roman" w:cs="Times New Roman"/>
          <w:sz w:val="24"/>
          <w:szCs w:val="24"/>
        </w:rPr>
        <w:t>um</w:t>
      </w:r>
      <w:r w:rsidR="00D039B4">
        <w:rPr>
          <w:rFonts w:ascii="Times New Roman" w:hAnsi="Times New Roman" w:cs="Times New Roman"/>
          <w:sz w:val="24"/>
          <w:szCs w:val="24"/>
        </w:rPr>
        <w:t>a obra escrita com urgência no ano de 1998: “Nunca senti tanta vontade de escrever um livro. Deitei mãos à obra sem premeditação, como sob o efeito de uma necessidade pessoal, abandonando outros trabalhos já começados. No entanto, a conjuntura também teve a sua influência: em Junho de 1996, um grupo de mulheres políticas, superando as clivagens habituais, lançava um manifesto pró-paridade</w:t>
      </w:r>
      <w:r w:rsidR="002B1A84">
        <w:rPr>
          <w:rFonts w:ascii="Times New Roman" w:hAnsi="Times New Roman" w:cs="Times New Roman"/>
          <w:sz w:val="24"/>
          <w:szCs w:val="24"/>
        </w:rPr>
        <w:t>, reclamando medidas voluntaristas que estabelecessem uma igualdade efectiva entre homens e mulheres nas instâncias de decisão”, diz-nos.</w:t>
      </w:r>
    </w:p>
    <w:p w:rsidR="009823C3" w:rsidRDefault="009823C3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seja, a questão do feminino/masculino terá de manter-se na fina linha que a polaridade igualdade/diferença lhe reserva: se pender para a igualdade corre o risco de</w:t>
      </w:r>
      <w:r w:rsidR="0078165A">
        <w:rPr>
          <w:rFonts w:ascii="Times New Roman" w:hAnsi="Times New Roman" w:cs="Times New Roman"/>
          <w:sz w:val="24"/>
          <w:szCs w:val="24"/>
        </w:rPr>
        <w:t xml:space="preserve"> ser película </w:t>
      </w:r>
      <w:r>
        <w:rPr>
          <w:rFonts w:ascii="Times New Roman" w:hAnsi="Times New Roman" w:cs="Times New Roman"/>
          <w:sz w:val="24"/>
          <w:szCs w:val="24"/>
        </w:rPr>
        <w:t>discursiva sem referencial existencial; se pender para a diferença corre o risco de se perder numa at</w:t>
      </w:r>
      <w:r w:rsidR="00DE3E77">
        <w:rPr>
          <w:rFonts w:ascii="Times New Roman" w:hAnsi="Times New Roman" w:cs="Times New Roman"/>
          <w:sz w:val="24"/>
          <w:szCs w:val="24"/>
        </w:rPr>
        <w:t xml:space="preserve">omização incapaz de transcendência. Recuperando </w:t>
      </w:r>
      <w:proofErr w:type="spellStart"/>
      <w:r w:rsidR="00DE3E77">
        <w:rPr>
          <w:rFonts w:ascii="Times New Roman" w:hAnsi="Times New Roman" w:cs="Times New Roman"/>
          <w:sz w:val="24"/>
          <w:szCs w:val="24"/>
        </w:rPr>
        <w:t>Sylviane</w:t>
      </w:r>
      <w:proofErr w:type="spellEnd"/>
      <w:r w:rsidR="00DE3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E77">
        <w:rPr>
          <w:rFonts w:ascii="Times New Roman" w:hAnsi="Times New Roman" w:cs="Times New Roman"/>
          <w:sz w:val="24"/>
          <w:szCs w:val="24"/>
        </w:rPr>
        <w:t>Agacinski</w:t>
      </w:r>
      <w:proofErr w:type="spellEnd"/>
      <w:r w:rsidR="00DE3E77">
        <w:rPr>
          <w:rFonts w:ascii="Times New Roman" w:hAnsi="Times New Roman" w:cs="Times New Roman"/>
          <w:sz w:val="24"/>
          <w:szCs w:val="24"/>
        </w:rPr>
        <w:t xml:space="preserve">, “[…] devemos pôr radicalmente em causa a hierarquia dos sexos e a valorização dos modelos masculinos. Mas também assumir a diferença dos sexos, reconhecer nela a origem da diversidade humana e basear nela a exigência de novos modos de partilha.” Interrogamo-nos, como faz a pensadora francesa: “Não será, para cada um de nós, o outro sexo o rosto mais próximo do </w:t>
      </w:r>
      <w:r w:rsidR="00DE3E77" w:rsidRPr="00DE3E77">
        <w:rPr>
          <w:rFonts w:ascii="Times New Roman" w:hAnsi="Times New Roman" w:cs="Times New Roman"/>
          <w:i/>
          <w:sz w:val="24"/>
          <w:szCs w:val="24"/>
        </w:rPr>
        <w:t>estranho</w:t>
      </w:r>
      <w:r w:rsidR="00DE3E77">
        <w:rPr>
          <w:rFonts w:ascii="Times New Roman" w:hAnsi="Times New Roman" w:cs="Times New Roman"/>
          <w:sz w:val="24"/>
          <w:szCs w:val="24"/>
        </w:rPr>
        <w:t xml:space="preserve">?” E acabamos como ela, ao abrir a </w:t>
      </w:r>
      <w:r w:rsidR="00DE3E77" w:rsidRPr="00DE3E77">
        <w:rPr>
          <w:rFonts w:ascii="Times New Roman" w:hAnsi="Times New Roman" w:cs="Times New Roman"/>
          <w:i/>
          <w:sz w:val="24"/>
          <w:szCs w:val="24"/>
        </w:rPr>
        <w:t>Política dos Sexos</w:t>
      </w:r>
      <w:r w:rsidR="00DE3E7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E3E77">
        <w:rPr>
          <w:rFonts w:ascii="Times New Roman" w:hAnsi="Times New Roman" w:cs="Times New Roman"/>
          <w:sz w:val="24"/>
          <w:szCs w:val="24"/>
        </w:rPr>
        <w:t>“É portanto</w:t>
      </w:r>
      <w:proofErr w:type="gramEnd"/>
      <w:r w:rsidR="00DE3E77">
        <w:rPr>
          <w:rFonts w:ascii="Times New Roman" w:hAnsi="Times New Roman" w:cs="Times New Roman"/>
          <w:sz w:val="24"/>
          <w:szCs w:val="24"/>
        </w:rPr>
        <w:t xml:space="preserve"> politicamente decisivo sabermos como é reconhecida ou pelo contrário denegada a diferença dos sexos. Porque da maneira como pensamos o </w:t>
      </w:r>
      <w:r w:rsidR="00DE3E77" w:rsidRPr="00DE3E77">
        <w:rPr>
          <w:rFonts w:ascii="Times New Roman" w:hAnsi="Times New Roman" w:cs="Times New Roman"/>
          <w:i/>
          <w:sz w:val="24"/>
          <w:szCs w:val="24"/>
        </w:rPr>
        <w:t>outro sexo</w:t>
      </w:r>
      <w:r w:rsidR="00DE3E77">
        <w:rPr>
          <w:rFonts w:ascii="Times New Roman" w:hAnsi="Times New Roman" w:cs="Times New Roman"/>
          <w:sz w:val="24"/>
          <w:szCs w:val="24"/>
        </w:rPr>
        <w:t xml:space="preserve"> depende a maneira como pensamos o</w:t>
      </w:r>
      <w:r w:rsidR="00DE3E77" w:rsidRPr="00DE3E77">
        <w:rPr>
          <w:rFonts w:ascii="Times New Roman" w:hAnsi="Times New Roman" w:cs="Times New Roman"/>
          <w:i/>
          <w:sz w:val="24"/>
          <w:szCs w:val="24"/>
        </w:rPr>
        <w:t xml:space="preserve"> outro</w:t>
      </w:r>
      <w:r w:rsidR="00DE3E77">
        <w:rPr>
          <w:rFonts w:ascii="Times New Roman" w:hAnsi="Times New Roman" w:cs="Times New Roman"/>
          <w:sz w:val="24"/>
          <w:szCs w:val="24"/>
        </w:rPr>
        <w:t xml:space="preserve"> em geral.”</w:t>
      </w:r>
    </w:p>
    <w:p w:rsidR="00C26FC5" w:rsidRDefault="00C26FC5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AA" w:rsidRDefault="00007452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Cláudia Ferreira</w:t>
      </w:r>
      <w:r w:rsidR="008A51A5">
        <w:rPr>
          <w:rFonts w:ascii="Times New Roman" w:hAnsi="Times New Roman" w:cs="Times New Roman"/>
          <w:sz w:val="24"/>
          <w:szCs w:val="24"/>
        </w:rPr>
        <w:t xml:space="preserve"> (Historiadora)</w:t>
      </w:r>
    </w:p>
    <w:p w:rsidR="00DB3167" w:rsidRPr="00694CAA" w:rsidRDefault="00DB3167" w:rsidP="0000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nal – Ciência Viva</w:t>
      </w:r>
    </w:p>
    <w:sectPr w:rsidR="00DB3167" w:rsidRPr="00694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CAA"/>
    <w:rsid w:val="00007452"/>
    <w:rsid w:val="000F733F"/>
    <w:rsid w:val="00235B3B"/>
    <w:rsid w:val="002B1A84"/>
    <w:rsid w:val="003F760B"/>
    <w:rsid w:val="00490CEA"/>
    <w:rsid w:val="00573B88"/>
    <w:rsid w:val="00596DA2"/>
    <w:rsid w:val="00684543"/>
    <w:rsid w:val="00694CAA"/>
    <w:rsid w:val="0075662E"/>
    <w:rsid w:val="0078165A"/>
    <w:rsid w:val="008A51A5"/>
    <w:rsid w:val="009823C3"/>
    <w:rsid w:val="00A56730"/>
    <w:rsid w:val="00B8015E"/>
    <w:rsid w:val="00C22438"/>
    <w:rsid w:val="00C26FC5"/>
    <w:rsid w:val="00D039B4"/>
    <w:rsid w:val="00D6693A"/>
    <w:rsid w:val="00DB3167"/>
    <w:rsid w:val="00DE3E77"/>
    <w:rsid w:val="00ED1F7D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B10"/>
  <w15:docId w15:val="{A8DAA37E-14EC-4169-A92D-1CE6EE30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Ferreira</dc:creator>
  <cp:keywords/>
  <dc:description/>
  <cp:lastModifiedBy>António Piedade</cp:lastModifiedBy>
  <cp:revision>18</cp:revision>
  <dcterms:created xsi:type="dcterms:W3CDTF">2018-02-14T21:54:00Z</dcterms:created>
  <dcterms:modified xsi:type="dcterms:W3CDTF">2018-02-20T14:53:00Z</dcterms:modified>
</cp:coreProperties>
</file>