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EE035" w14:textId="77777777" w:rsidR="00DB0B1B" w:rsidRPr="0012006C" w:rsidRDefault="009B3F11">
      <w:pPr>
        <w:pStyle w:val="Ttulo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zh721h2q0rcl" w:colFirst="0" w:colLast="0"/>
      <w:bookmarkEnd w:id="0"/>
      <w:r w:rsidRPr="0012006C">
        <w:rPr>
          <w:rFonts w:asciiTheme="majorHAnsi" w:hAnsiTheme="majorHAnsi" w:cstheme="majorHAnsi"/>
          <w:b/>
          <w:bCs/>
          <w:sz w:val="28"/>
          <w:szCs w:val="28"/>
        </w:rPr>
        <w:t>Cientistas estudam como as crianças veem interações sociais</w:t>
      </w:r>
    </w:p>
    <w:p w14:paraId="32AEE036" w14:textId="77777777" w:rsidR="00DB0B1B" w:rsidRPr="0012006C" w:rsidRDefault="009B3F11">
      <w:pPr>
        <w:rPr>
          <w:rFonts w:asciiTheme="majorHAnsi" w:hAnsiTheme="majorHAnsi" w:cstheme="majorHAnsi"/>
          <w:sz w:val="24"/>
          <w:szCs w:val="24"/>
        </w:rPr>
      </w:pPr>
      <w:r w:rsidRPr="0012006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2AEE037" w14:textId="699A8D42" w:rsidR="00DB0B1B" w:rsidRPr="0012006C" w:rsidRDefault="009B3F11">
      <w:pPr>
        <w:rPr>
          <w:rFonts w:asciiTheme="majorHAnsi" w:hAnsiTheme="majorHAnsi" w:cstheme="majorHAnsi"/>
          <w:sz w:val="24"/>
          <w:szCs w:val="24"/>
        </w:rPr>
      </w:pPr>
      <w:r w:rsidRPr="0012006C">
        <w:rPr>
          <w:rFonts w:asciiTheme="majorHAnsi" w:hAnsiTheme="majorHAnsi" w:cstheme="majorHAnsi"/>
          <w:sz w:val="24"/>
          <w:szCs w:val="24"/>
        </w:rPr>
        <w:t xml:space="preserve">Investigadores da Universidade de </w:t>
      </w:r>
      <w:proofErr w:type="spellStart"/>
      <w:r w:rsidRPr="0012006C">
        <w:rPr>
          <w:rFonts w:asciiTheme="majorHAnsi" w:hAnsiTheme="majorHAnsi" w:cstheme="majorHAnsi"/>
          <w:sz w:val="24"/>
          <w:szCs w:val="24"/>
        </w:rPr>
        <w:t>Bangor</w:t>
      </w:r>
      <w:proofErr w:type="spellEnd"/>
      <w:r w:rsidRPr="0012006C">
        <w:rPr>
          <w:rFonts w:asciiTheme="majorHAnsi" w:hAnsiTheme="majorHAnsi" w:cstheme="majorHAnsi"/>
          <w:sz w:val="24"/>
          <w:szCs w:val="24"/>
        </w:rPr>
        <w:t xml:space="preserve">, no País de Gales, revelaram como as crianças e os adultos veem de forma diferente as interações sociais num </w:t>
      </w:r>
      <w:hyperlink r:id="rId4">
        <w:r w:rsidRPr="0012006C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artigo publicado</w:t>
        </w:r>
      </w:hyperlink>
      <w:r w:rsidRPr="0012006C">
        <w:rPr>
          <w:rFonts w:asciiTheme="majorHAnsi" w:hAnsiTheme="majorHAnsi" w:cstheme="majorHAnsi"/>
          <w:sz w:val="24"/>
          <w:szCs w:val="24"/>
        </w:rPr>
        <w:t xml:space="preserve"> numa conceituada revista científica em abril deste ano. Os resultados demonstram como o cérebro processa comportamentos sociais complexos, o que poderá ajudar a compreender a esquizofrenia e os transtornos do espectro autista.</w:t>
      </w:r>
    </w:p>
    <w:p w14:paraId="32AEE039" w14:textId="77777777" w:rsidR="00DB0B1B" w:rsidRPr="0012006C" w:rsidRDefault="009B3F11">
      <w:pPr>
        <w:rPr>
          <w:rFonts w:asciiTheme="majorHAnsi" w:hAnsiTheme="majorHAnsi" w:cstheme="majorHAnsi"/>
          <w:sz w:val="24"/>
          <w:szCs w:val="24"/>
        </w:rPr>
      </w:pPr>
      <w:r w:rsidRPr="0012006C">
        <w:rPr>
          <w:rFonts w:asciiTheme="majorHAnsi" w:hAnsiTheme="majorHAnsi" w:cstheme="majorHAnsi"/>
          <w:sz w:val="24"/>
          <w:szCs w:val="24"/>
        </w:rPr>
        <w:t xml:space="preserve">A equipa levou a cabo um estudo com 29 adultos e 31 crianças entre os 6 e os 12 anos, que se focou numa zona do cérebro designada sulco temporal superior (STS), conhecida por desempenhar funções relacionadas com a socialização tais como o reconhecimento de faces ou de movimento corporal. A experiência foi feita com recurso a ressonância magnética funcional, que permitiu visualizar intensidade da resposta de algumas zonas do cérebro quando apresentados estímulos visuais aos participantes. </w:t>
      </w:r>
    </w:p>
    <w:p w14:paraId="32AEE042" w14:textId="0F685061" w:rsidR="00DB0B1B" w:rsidRPr="0012006C" w:rsidRDefault="009B3F11" w:rsidP="005F6F03">
      <w:pPr>
        <w:rPr>
          <w:rFonts w:asciiTheme="majorHAnsi" w:hAnsiTheme="majorHAnsi" w:cstheme="majorHAnsi"/>
          <w:sz w:val="24"/>
          <w:szCs w:val="24"/>
        </w:rPr>
      </w:pPr>
      <w:r w:rsidRPr="0012006C">
        <w:rPr>
          <w:rFonts w:asciiTheme="majorHAnsi" w:hAnsiTheme="majorHAnsi" w:cstheme="majorHAnsi"/>
          <w:sz w:val="24"/>
          <w:szCs w:val="24"/>
        </w:rPr>
        <w:t xml:space="preserve">Os resultados demonstram diferenças significativas na resposta do sulco temporal superior (STS) entre adultos e crianças. Embora existam diferenças em ambos os hemisférios, estas são muito mais significativas no hemisfério esquerdo. “A distinção entre os dois hemisférios leva-nos a crer que o STS ainda se encontra em desenvolvimento nas crianças. A sua capacidade de reconhecer interações sociais não está completamente desenvolvida”, esclarece </w:t>
      </w:r>
      <w:proofErr w:type="spellStart"/>
      <w:r w:rsidRPr="0012006C">
        <w:rPr>
          <w:rFonts w:asciiTheme="majorHAnsi" w:hAnsiTheme="majorHAnsi" w:cstheme="majorHAnsi"/>
          <w:sz w:val="24"/>
          <w:szCs w:val="24"/>
        </w:rPr>
        <w:t>Jon</w:t>
      </w:r>
      <w:proofErr w:type="spellEnd"/>
      <w:r w:rsidRPr="0012006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2006C">
        <w:rPr>
          <w:rFonts w:asciiTheme="majorHAnsi" w:hAnsiTheme="majorHAnsi" w:cstheme="majorHAnsi"/>
          <w:sz w:val="24"/>
          <w:szCs w:val="24"/>
        </w:rPr>
        <w:t>Walbrin</w:t>
      </w:r>
      <w:proofErr w:type="spellEnd"/>
      <w:r w:rsidRPr="0012006C">
        <w:rPr>
          <w:rFonts w:asciiTheme="majorHAnsi" w:hAnsiTheme="majorHAnsi" w:cstheme="majorHAnsi"/>
          <w:sz w:val="24"/>
          <w:szCs w:val="24"/>
        </w:rPr>
        <w:t xml:space="preserve">, investigador responsável pelo estudo, agora a trabalhar na </w:t>
      </w:r>
      <w:hyperlink r:id="rId5">
        <w:r w:rsidRPr="0012006C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Universidade de Coimbra</w:t>
        </w:r>
      </w:hyperlink>
      <w:r w:rsidRPr="0012006C">
        <w:rPr>
          <w:rFonts w:asciiTheme="majorHAnsi" w:hAnsiTheme="majorHAnsi" w:cstheme="majorHAnsi"/>
          <w:sz w:val="24"/>
          <w:szCs w:val="24"/>
        </w:rPr>
        <w:t xml:space="preserve">. A maturação desta área parece ocorrer primeiro no hemisfério direito, pelo que apenas nos adultos a resposta do STS é forte em ambos os hemisférios. “Estudar o desenvolvimento de áreas intimamente relacionadas com a </w:t>
      </w:r>
      <w:r w:rsidR="005F6F03" w:rsidRPr="0012006C">
        <w:rPr>
          <w:rFonts w:asciiTheme="majorHAnsi" w:hAnsiTheme="majorHAnsi" w:cstheme="majorHAnsi"/>
          <w:sz w:val="24"/>
          <w:szCs w:val="24"/>
        </w:rPr>
        <w:t>perceção</w:t>
      </w:r>
      <w:r w:rsidRPr="0012006C">
        <w:rPr>
          <w:rFonts w:asciiTheme="majorHAnsi" w:hAnsiTheme="majorHAnsi" w:cstheme="majorHAnsi"/>
          <w:sz w:val="24"/>
          <w:szCs w:val="24"/>
        </w:rPr>
        <w:t xml:space="preserve"> de sinais sociais poderá ser particularmente útil no estudo de doenças relacionadas com a cognição social, tais como a esquizofrenia ou transtornos do espectro autista”, refere o autor do estudo. </w:t>
      </w:r>
    </w:p>
    <w:p w14:paraId="32AEE044" w14:textId="3B254670" w:rsidR="00DB0B1B" w:rsidRPr="0012006C" w:rsidRDefault="009B3F11">
      <w:pPr>
        <w:rPr>
          <w:rFonts w:asciiTheme="majorHAnsi" w:hAnsiTheme="majorHAnsi" w:cstheme="majorHAnsi"/>
          <w:sz w:val="24"/>
          <w:szCs w:val="24"/>
        </w:rPr>
      </w:pPr>
      <w:r w:rsidRPr="0012006C">
        <w:rPr>
          <w:rFonts w:asciiTheme="majorHAnsi" w:hAnsiTheme="majorHAnsi" w:cstheme="majorHAnsi"/>
          <w:sz w:val="24"/>
          <w:szCs w:val="24"/>
        </w:rPr>
        <w:t xml:space="preserve">Este estudo pretendeu ver quão responsivo é o STS a interações sociais. Para isso os participantes visualizaram imagens de padrões constituídos por pontos enquanto estavam dentro da ressonância magnética. Um dos estímulos consistiu na interação entre duas figuras humanas e no outro as figuras não interagiam entre si. A </w:t>
      </w:r>
      <w:r w:rsidR="005F6F03" w:rsidRPr="0012006C">
        <w:rPr>
          <w:rFonts w:asciiTheme="majorHAnsi" w:hAnsiTheme="majorHAnsi" w:cstheme="majorHAnsi"/>
          <w:sz w:val="24"/>
          <w:szCs w:val="24"/>
        </w:rPr>
        <w:t>seletividade</w:t>
      </w:r>
      <w:r w:rsidRPr="0012006C">
        <w:rPr>
          <w:rFonts w:asciiTheme="majorHAnsi" w:hAnsiTheme="majorHAnsi" w:cstheme="majorHAnsi"/>
          <w:sz w:val="24"/>
          <w:szCs w:val="24"/>
        </w:rPr>
        <w:t xml:space="preserve"> do STS para interações sociais foi medida pela diferença de respostas entre o primeiro e o segundo estímulo, ou seja, quanto é que o STS respondia em específico para as interações sociais.</w:t>
      </w:r>
    </w:p>
    <w:p w14:paraId="32AEE047" w14:textId="5AA7B739" w:rsidR="00DB0B1B" w:rsidRPr="0012006C" w:rsidRDefault="009B3F11">
      <w:pPr>
        <w:rPr>
          <w:rFonts w:asciiTheme="majorHAnsi" w:hAnsiTheme="majorHAnsi" w:cstheme="majorHAnsi"/>
          <w:sz w:val="24"/>
          <w:szCs w:val="24"/>
        </w:rPr>
      </w:pPr>
      <w:r w:rsidRPr="0012006C">
        <w:rPr>
          <w:rFonts w:asciiTheme="majorHAnsi" w:hAnsiTheme="majorHAnsi" w:cstheme="majorHAnsi"/>
          <w:sz w:val="24"/>
          <w:szCs w:val="24"/>
        </w:rPr>
        <w:t xml:space="preserve">Quando se analisaram os resultados mais a fundo, a equipa percebeu que </w:t>
      </w:r>
      <w:r w:rsidR="005F6F03" w:rsidRPr="0012006C">
        <w:rPr>
          <w:rFonts w:asciiTheme="majorHAnsi" w:hAnsiTheme="majorHAnsi" w:cstheme="majorHAnsi"/>
          <w:sz w:val="24"/>
          <w:szCs w:val="24"/>
        </w:rPr>
        <w:t>havia</w:t>
      </w:r>
      <w:r w:rsidRPr="0012006C">
        <w:rPr>
          <w:rFonts w:asciiTheme="majorHAnsi" w:hAnsiTheme="majorHAnsi" w:cstheme="majorHAnsi"/>
          <w:sz w:val="24"/>
          <w:szCs w:val="24"/>
        </w:rPr>
        <w:t xml:space="preserve"> também diferenças significativas entre o grupo de crianças. “Demonstramos ainda que as crianças mais velhas (9-11) apresentam uma seletividade semelhante à dos adultos no hemisfério direito. As crianças mais novas, no entanto, apresentava</w:t>
      </w:r>
      <w:r w:rsidR="005F6F03" w:rsidRPr="0012006C">
        <w:rPr>
          <w:rFonts w:asciiTheme="majorHAnsi" w:hAnsiTheme="majorHAnsi" w:cstheme="majorHAnsi"/>
          <w:sz w:val="24"/>
          <w:szCs w:val="24"/>
        </w:rPr>
        <w:t>m</w:t>
      </w:r>
      <w:r w:rsidRPr="0012006C">
        <w:rPr>
          <w:rFonts w:asciiTheme="majorHAnsi" w:hAnsiTheme="majorHAnsi" w:cstheme="majorHAnsi"/>
          <w:sz w:val="24"/>
          <w:szCs w:val="24"/>
        </w:rPr>
        <w:t xml:space="preserve"> uma resposta a interações mais fraca”, refere </w:t>
      </w:r>
      <w:proofErr w:type="spellStart"/>
      <w:r w:rsidRPr="0012006C">
        <w:rPr>
          <w:rFonts w:asciiTheme="majorHAnsi" w:hAnsiTheme="majorHAnsi" w:cstheme="majorHAnsi"/>
          <w:sz w:val="24"/>
          <w:szCs w:val="24"/>
        </w:rPr>
        <w:t>Jon</w:t>
      </w:r>
      <w:proofErr w:type="spellEnd"/>
      <w:r w:rsidRPr="0012006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2006C">
        <w:rPr>
          <w:rFonts w:asciiTheme="majorHAnsi" w:hAnsiTheme="majorHAnsi" w:cstheme="majorHAnsi"/>
          <w:sz w:val="24"/>
          <w:szCs w:val="24"/>
        </w:rPr>
        <w:t>Walbrin</w:t>
      </w:r>
      <w:proofErr w:type="spellEnd"/>
      <w:r w:rsidRPr="0012006C">
        <w:rPr>
          <w:rFonts w:asciiTheme="majorHAnsi" w:hAnsiTheme="majorHAnsi" w:cstheme="majorHAnsi"/>
          <w:sz w:val="24"/>
          <w:szCs w:val="24"/>
        </w:rPr>
        <w:t>.</w:t>
      </w:r>
    </w:p>
    <w:p w14:paraId="32AEE049" w14:textId="76FAB5EF" w:rsidR="00DB0B1B" w:rsidRPr="0012006C" w:rsidRDefault="009B3F11">
      <w:pPr>
        <w:rPr>
          <w:rFonts w:asciiTheme="majorHAnsi" w:hAnsiTheme="majorHAnsi" w:cstheme="majorHAnsi"/>
          <w:sz w:val="24"/>
          <w:szCs w:val="24"/>
        </w:rPr>
      </w:pPr>
      <w:r w:rsidRPr="0012006C">
        <w:rPr>
          <w:rFonts w:asciiTheme="majorHAnsi" w:hAnsiTheme="majorHAnsi" w:cstheme="majorHAnsi"/>
          <w:sz w:val="24"/>
          <w:szCs w:val="24"/>
        </w:rPr>
        <w:t xml:space="preserve">Os resultados do hemisfério esquerdo sugerem que a seletividade do STS aumenta com a idade, apoiando ainda mais a hipótese da maturação incompleta em crianças. “O contexto das interações sociais varia muito de cultura para cultura. Faz sentido que esta capacidade de as perceber não seja apenas </w:t>
      </w:r>
      <w:r w:rsidR="005F6F03" w:rsidRPr="0012006C">
        <w:rPr>
          <w:rFonts w:asciiTheme="majorHAnsi" w:hAnsiTheme="majorHAnsi" w:cstheme="majorHAnsi"/>
          <w:sz w:val="24"/>
          <w:szCs w:val="24"/>
        </w:rPr>
        <w:t>inata,</w:t>
      </w:r>
      <w:r w:rsidRPr="0012006C">
        <w:rPr>
          <w:rFonts w:asciiTheme="majorHAnsi" w:hAnsiTheme="majorHAnsi" w:cstheme="majorHAnsi"/>
          <w:sz w:val="24"/>
          <w:szCs w:val="24"/>
        </w:rPr>
        <w:t xml:space="preserve"> mas que seja também moldada pelas nossas experiências e pelo contexto onde vivemos”, continua. Sobre os próximos passos, o </w:t>
      </w:r>
      <w:r w:rsidRPr="0012006C">
        <w:rPr>
          <w:rFonts w:asciiTheme="majorHAnsi" w:hAnsiTheme="majorHAnsi" w:cstheme="majorHAnsi"/>
          <w:sz w:val="24"/>
          <w:szCs w:val="24"/>
        </w:rPr>
        <w:lastRenderedPageBreak/>
        <w:t xml:space="preserve">investigador diz que seria importante “replicar este estudo para todas as faixas etárias e alargar o estudo a outras áreas do cérebro que sabemos que também podem ter um papel importante na perceção de interações </w:t>
      </w:r>
      <w:proofErr w:type="gramStart"/>
      <w:r w:rsidRPr="0012006C">
        <w:rPr>
          <w:rFonts w:asciiTheme="majorHAnsi" w:hAnsiTheme="majorHAnsi" w:cstheme="majorHAnsi"/>
          <w:sz w:val="24"/>
          <w:szCs w:val="24"/>
        </w:rPr>
        <w:t>sociais“</w:t>
      </w:r>
      <w:proofErr w:type="gramEnd"/>
      <w:r w:rsidRPr="0012006C">
        <w:rPr>
          <w:rFonts w:asciiTheme="majorHAnsi" w:hAnsiTheme="majorHAnsi" w:cstheme="majorHAnsi"/>
          <w:sz w:val="24"/>
          <w:szCs w:val="24"/>
        </w:rPr>
        <w:t>, finaliza.</w:t>
      </w:r>
    </w:p>
    <w:p w14:paraId="0B2283F2" w14:textId="462C809A" w:rsidR="00B967E1" w:rsidRPr="0012006C" w:rsidRDefault="00B967E1">
      <w:pPr>
        <w:rPr>
          <w:rFonts w:asciiTheme="majorHAnsi" w:hAnsiTheme="majorHAnsi" w:cstheme="majorHAnsi"/>
          <w:sz w:val="24"/>
          <w:szCs w:val="24"/>
        </w:rPr>
      </w:pPr>
    </w:p>
    <w:p w14:paraId="32AEE04A" w14:textId="58E346EF" w:rsidR="00DB0B1B" w:rsidRPr="0012006C" w:rsidRDefault="00B967E1">
      <w:pPr>
        <w:rPr>
          <w:rFonts w:asciiTheme="majorHAnsi" w:hAnsiTheme="majorHAnsi" w:cstheme="majorHAnsi"/>
          <w:sz w:val="24"/>
          <w:szCs w:val="24"/>
        </w:rPr>
      </w:pPr>
      <w:r w:rsidRPr="0012006C">
        <w:rPr>
          <w:rFonts w:asciiTheme="majorHAnsi" w:hAnsiTheme="majorHAnsi" w:cstheme="majorHAnsi"/>
          <w:sz w:val="24"/>
          <w:szCs w:val="24"/>
        </w:rPr>
        <w:t>Daniel Ribeiro e Ana Sousa</w:t>
      </w:r>
      <w:r w:rsidR="0012006C" w:rsidRPr="0012006C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12006C" w:rsidRPr="0012006C">
        <w:rPr>
          <w:rFonts w:asciiTheme="majorHAnsi" w:hAnsiTheme="majorHAnsi" w:cstheme="majorHAnsi"/>
          <w:sz w:val="24"/>
          <w:szCs w:val="24"/>
        </w:rPr>
        <w:t>Proaction</w:t>
      </w:r>
      <w:proofErr w:type="spellEnd"/>
      <w:r w:rsidR="0012006C" w:rsidRPr="0012006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2006C" w:rsidRPr="0012006C">
        <w:rPr>
          <w:rFonts w:asciiTheme="majorHAnsi" w:hAnsiTheme="majorHAnsi" w:cstheme="majorHAnsi"/>
          <w:sz w:val="24"/>
          <w:szCs w:val="24"/>
        </w:rPr>
        <w:t>Laboratory</w:t>
      </w:r>
      <w:proofErr w:type="spellEnd"/>
      <w:r w:rsidR="0012006C" w:rsidRPr="0012006C">
        <w:rPr>
          <w:rFonts w:asciiTheme="majorHAnsi" w:hAnsiTheme="majorHAnsi" w:cstheme="majorHAnsi"/>
          <w:sz w:val="24"/>
          <w:szCs w:val="24"/>
        </w:rPr>
        <w:t>)</w:t>
      </w:r>
    </w:p>
    <w:p w14:paraId="6FC807BE" w14:textId="70D7F405" w:rsidR="0012006C" w:rsidRPr="0012006C" w:rsidRDefault="0012006C">
      <w:pPr>
        <w:rPr>
          <w:rFonts w:asciiTheme="majorHAnsi" w:hAnsiTheme="majorHAnsi" w:cstheme="majorHAnsi"/>
          <w:sz w:val="24"/>
          <w:szCs w:val="24"/>
        </w:rPr>
      </w:pPr>
      <w:r w:rsidRPr="0012006C">
        <w:rPr>
          <w:rFonts w:asciiTheme="majorHAnsi" w:hAnsiTheme="majorHAnsi" w:cstheme="majorHAnsi"/>
          <w:sz w:val="24"/>
          <w:szCs w:val="24"/>
        </w:rPr>
        <w:t>Ciência na Imprensa Regional – Ciência Viva</w:t>
      </w:r>
    </w:p>
    <w:p w14:paraId="32AEE04B" w14:textId="01EC6499" w:rsidR="00DB0B1B" w:rsidRDefault="00DB0B1B"/>
    <w:p w14:paraId="32AEE04C" w14:textId="77777777" w:rsidR="00DB0B1B" w:rsidRDefault="00DB0B1B">
      <w:pPr>
        <w:jc w:val="center"/>
      </w:pPr>
    </w:p>
    <w:p w14:paraId="32AEE04D" w14:textId="77777777" w:rsidR="00DB0B1B" w:rsidRDefault="00DB0B1B"/>
    <w:p w14:paraId="32AEE04E" w14:textId="77777777" w:rsidR="00DB0B1B" w:rsidRDefault="00DB0B1B"/>
    <w:p w14:paraId="32AEE05E" w14:textId="517A60EF" w:rsidR="00DB0B1B" w:rsidRPr="00767948" w:rsidRDefault="009B3F11">
      <w:r>
        <w:t xml:space="preserve"> </w:t>
      </w:r>
      <w:bookmarkStart w:id="1" w:name="_g36banar6l1l" w:colFirst="0" w:colLast="0"/>
      <w:bookmarkEnd w:id="1"/>
    </w:p>
    <w:sectPr w:rsidR="00DB0B1B" w:rsidRPr="0076794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MzY1M7AwNzOyMDVR0lEKTi0uzszPAykwqQUA64/JiCwAAAA="/>
  </w:docVars>
  <w:rsids>
    <w:rsidRoot w:val="00DB0B1B"/>
    <w:rsid w:val="0012006C"/>
    <w:rsid w:val="00126E8C"/>
    <w:rsid w:val="003146C8"/>
    <w:rsid w:val="005F6F03"/>
    <w:rsid w:val="00767948"/>
    <w:rsid w:val="008B0603"/>
    <w:rsid w:val="009B3F11"/>
    <w:rsid w:val="00B513FD"/>
    <w:rsid w:val="00B967E1"/>
    <w:rsid w:val="00DB0B1B"/>
    <w:rsid w:val="00F1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E035"/>
  <w15:docId w15:val="{F0F72A79-A58E-4B60-AA32-25DB781B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513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51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actionlab.fpce.uc.pt/" TargetMode="External"/><Relationship Id="rId4" Type="http://schemas.openxmlformats.org/officeDocument/2006/relationships/hyperlink" Target="https://doi.org/10.1016/j.dcn.2020.1007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António Piedade</cp:lastModifiedBy>
  <cp:revision>11</cp:revision>
  <dcterms:created xsi:type="dcterms:W3CDTF">2020-04-13T14:59:00Z</dcterms:created>
  <dcterms:modified xsi:type="dcterms:W3CDTF">2020-04-20T13:30:00Z</dcterms:modified>
</cp:coreProperties>
</file>