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8DA92" w14:textId="34EAA8A8" w:rsidR="002C2BE2" w:rsidRPr="00543EC9" w:rsidRDefault="00520BB9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</w:pPr>
      <w:r w:rsidRPr="00543EC9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pt-PT"/>
        </w:rPr>
        <w:t>UE precisa de uma nova estratégia para conservar a biodiversidade</w:t>
      </w:r>
    </w:p>
    <w:p w14:paraId="2954FBD7" w14:textId="3C4E3388" w:rsidR="00520BB9" w:rsidRPr="00520BB9" w:rsidRDefault="00520BB9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  <w:lang w:val="pt-PT"/>
        </w:rPr>
      </w:pPr>
    </w:p>
    <w:p w14:paraId="1F1BCCBD" w14:textId="28588A38" w:rsidR="00520BB9" w:rsidRPr="00520BB9" w:rsidRDefault="00520BB9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</w:pPr>
      <w:r w:rsidRPr="00520BB9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  <w:t>Financiamento beneficia desde 1992 os projetos com animais carismáticos e</w:t>
      </w:r>
      <w:r w:rsidR="001E0B3B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  <w:t xml:space="preserve"> </w:t>
      </w:r>
      <w:r w:rsidRPr="00520BB9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  <w:t>secundariza os restantes, alerta estudo com quatro autores portugueses</w:t>
      </w:r>
      <w:r w:rsidR="001E0B3B"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  <w:t>.</w:t>
      </w:r>
    </w:p>
    <w:p w14:paraId="0BCB3F5E" w14:textId="0F4AB372" w:rsidR="00520BB9" w:rsidRPr="00520BB9" w:rsidRDefault="00520BB9">
      <w:pPr>
        <w:rPr>
          <w:rFonts w:cstheme="minorHAnsi"/>
          <w:i/>
          <w:iCs/>
          <w:color w:val="000000"/>
          <w:sz w:val="24"/>
          <w:szCs w:val="24"/>
          <w:shd w:val="clear" w:color="auto" w:fill="FFFFFF"/>
          <w:lang w:val="pt-PT"/>
        </w:rPr>
      </w:pPr>
    </w:p>
    <w:p w14:paraId="187D5C9B" w14:textId="581441C0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A União Europeia precisa de uma nova estratégia para conservar a sua biodiversidade, pois tem enviesado o financiamento para animais carismáticos como o urso, o lobo e o lince. A conclusão acaba de sair num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hyperlink r:id="rId4" w:tgtFrame="_blank" w:history="1">
        <w:r w:rsidRPr="00520BB9">
          <w:rPr>
            <w:rFonts w:eastAsia="Times New Roman" w:cstheme="minorHAnsi"/>
            <w:color w:val="954F72"/>
            <w:sz w:val="24"/>
            <w:szCs w:val="24"/>
            <w:u w:val="single"/>
            <w:lang w:val="pt-PT" w:eastAsia="pt-PT"/>
          </w:rPr>
          <w:t>artigo</w:t>
        </w:r>
      </w:hyperlink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científico da prestigiada revista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r w:rsidRPr="00520BB9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“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Proceedings of the Royal Society B”, que inclui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 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portugueses das universidades do Minho, Porto e Helsínquia (Finlândia) entre os autores.</w:t>
      </w:r>
    </w:p>
    <w:p w14:paraId="3AECC118" w14:textId="40CEC964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Os cientistas avaliaram os projetos do Programa LIFE para espécies animais que foram financiados pela UE entre 1992 e 2018. Para Ronaldo Sousa, investigador no Centro de Biologia Molecular e Ambiental (</w:t>
      </w:r>
      <w:hyperlink r:id="rId5" w:anchor="NOP" w:history="1">
        <w:r w:rsidRPr="00520BB9">
          <w:rPr>
            <w:rFonts w:eastAsia="Times New Roman" w:cstheme="minorHAnsi"/>
            <w:color w:val="954F72"/>
            <w:sz w:val="24"/>
            <w:szCs w:val="24"/>
            <w:u w:val="single"/>
            <w:lang w:val="pt-PT" w:eastAsia="pt-PT"/>
          </w:rPr>
          <w:t>CBMA</w:t>
        </w:r>
      </w:hyperlink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 e professor do Departamento de Biologia da Escola de Ciências da UMinho, o apoio a projetos com espécies vertebradas foi seis vezes maior do que com invertebradas (970 </w:t>
      </w:r>
      <w:r w:rsidRPr="00520BB9">
        <w:rPr>
          <w:rFonts w:eastAsia="Times New Roman" w:cstheme="minorHAnsi"/>
          <w:i/>
          <w:iCs/>
          <w:color w:val="000000"/>
          <w:sz w:val="24"/>
          <w:szCs w:val="24"/>
          <w:lang w:val="pt-PT" w:eastAsia="pt-PT"/>
        </w:rPr>
        <w:t>versus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 150 milhões de euros). Aliás, aves e mamíferos representaram 72% das espécies contempladas e 75% do orçamento total atribuído. As espécies que “receberam” mais fundos foram o urso (</w:t>
      </w:r>
      <w:r w:rsidRPr="00520BB9">
        <w:rPr>
          <w:rFonts w:eastAsia="Times New Roman" w:cstheme="minorHAnsi"/>
          <w:i/>
          <w:iCs/>
          <w:color w:val="231F20"/>
          <w:sz w:val="24"/>
          <w:szCs w:val="24"/>
          <w:lang w:val="pt-PT" w:eastAsia="pt-PT"/>
        </w:rPr>
        <w:t>Ursus arctos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), o lobo (</w:t>
      </w:r>
      <w:r w:rsidRPr="00520BB9">
        <w:rPr>
          <w:rFonts w:eastAsia="Times New Roman" w:cstheme="minorHAnsi"/>
          <w:i/>
          <w:iCs/>
          <w:color w:val="231F20"/>
          <w:sz w:val="24"/>
          <w:szCs w:val="24"/>
          <w:lang w:val="pt-PT" w:eastAsia="pt-PT"/>
        </w:rPr>
        <w:t>Canis lupus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), o abetouro (</w:t>
      </w:r>
      <w:r w:rsidRPr="00520BB9">
        <w:rPr>
          <w:rFonts w:eastAsia="Times New Roman" w:cstheme="minorHAnsi"/>
          <w:i/>
          <w:iCs/>
          <w:color w:val="231F20"/>
          <w:sz w:val="24"/>
          <w:szCs w:val="24"/>
          <w:lang w:val="pt-PT" w:eastAsia="pt-PT"/>
        </w:rPr>
        <w:t>Botaurus stellaris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), o lince euro-asiático (</w:t>
      </w:r>
      <w:r w:rsidRPr="00520BB9">
        <w:rPr>
          <w:rFonts w:eastAsia="Times New Roman" w:cstheme="minorHAnsi"/>
          <w:i/>
          <w:iCs/>
          <w:color w:val="231F20"/>
          <w:sz w:val="24"/>
          <w:szCs w:val="24"/>
          <w:lang w:val="pt-PT" w:eastAsia="pt-PT"/>
        </w:rPr>
        <w:t>Lynx lynx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 e o lince ibérico (</w:t>
      </w:r>
      <w:r w:rsidRPr="00520BB9">
        <w:rPr>
          <w:rFonts w:eastAsia="Times New Roman" w:cstheme="minorHAnsi"/>
          <w:i/>
          <w:iCs/>
          <w:color w:val="231F20"/>
          <w:sz w:val="24"/>
          <w:szCs w:val="24"/>
          <w:lang w:val="pt-PT" w:eastAsia="pt-PT"/>
        </w:rPr>
        <w:t>Lynx pardinus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).</w:t>
      </w:r>
    </w:p>
    <w:p w14:paraId="281FF441" w14:textId="77777777" w:rsidR="005C5157" w:rsidRDefault="005C5157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</w:p>
    <w:p w14:paraId="6C09ADE8" w14:textId="5A4F1D32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b/>
          <w:bCs/>
          <w:color w:val="000000"/>
          <w:sz w:val="24"/>
          <w:szCs w:val="24"/>
          <w:lang w:val="pt-PT" w:eastAsia="pt-PT"/>
        </w:rPr>
        <w:t>Apenas 0.06% dos invertebrados apoiados</w:t>
      </w:r>
    </w:p>
    <w:p w14:paraId="43EFA42A" w14:textId="77777777" w:rsidR="005C5157" w:rsidRDefault="005C5157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</w:p>
    <w:p w14:paraId="1BE6A6C3" w14:textId="5C40FB25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Este enviesamento no esforço de conservação é ainda mais notório quando observamos que a Europa tem cerca de 1800 espécies de vertebrados e 130.300 espécies de invertebrados conhecidas, refere Manuel Lopes-Lima, do Centro de Investigação em Biodiversidade e Recursos Genéticos (</w:t>
      </w:r>
      <w:hyperlink r:id="rId6" w:tgtFrame="_blank" w:history="1">
        <w:r w:rsidRPr="00520BB9">
          <w:rPr>
            <w:rFonts w:eastAsia="Times New Roman" w:cstheme="minorHAnsi"/>
            <w:color w:val="954F72"/>
            <w:sz w:val="24"/>
            <w:szCs w:val="24"/>
            <w:u w:val="single"/>
            <w:lang w:val="pt-PT" w:eastAsia="pt-PT"/>
          </w:rPr>
          <w:t>CIBIO</w:t>
        </w:r>
      </w:hyperlink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) da Universidade do Porto. No período considerado, o Programa LIFE cobriu 23% dos vertebrados e apenas 0,06% dos invertebrados da UE, realça Pedro Cardoso, da Universidade de Helsínquia. Segundo Ricardo Correia, da mesma academia finlandesa, o esforço de conservação é explicado principalmente pela popularidade da espécie (medido pelo volume de pesquisas online nos últimos dez anos), em vez do seu risco real de extinção.</w:t>
      </w:r>
    </w:p>
    <w:p w14:paraId="3F1B8EEA" w14:textId="6970D239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>O artigo agora publicado, “Towards a taxonomically unbiased European Union biodiversity strategy for 2030”, junta ainda autores de instituições de Itália e França. A Diretiva Habitats e o Programa LIFE foram avaliados neste estudo com o objetivo de apoiar a futura agenda do setor. A nova Estratégia da UE para a Biodiversidade 2030 foi lançada em maio e propõe revolucionar a maneira como é feita a conservação da natureza, com um grande investimento (estimado em 20 biliões de euros anuais, se incluirmos mitigação dos efeitos das alterações climáticas) para a proteção da biodiversidade e dos seus habitats.</w:t>
      </w:r>
    </w:p>
    <w:p w14:paraId="6E3A1CF8" w14:textId="65C7AFB4" w:rsidR="00520BB9" w:rsidRPr="00520BB9" w:rsidRDefault="00520BB9" w:rsidP="00520B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val="pt-PT" w:eastAsia="pt-PT"/>
        </w:rPr>
      </w:pP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t xml:space="preserve">Há uma “necessidade premente” de a UE mudar de paradigma neste âmbito, que passa por rever a lista de espécies contida na Diretiva Habitats, por atentar na conservação de espécies realmente ameaçadas e dos seus habitats, pela aposta financeira mais equitativa e que permita diminuir as desigualdades entre espécies de vertebrados e invertebrados apoiadas e, ainda, pelo maior envolvimento dos cidadãos, por exemplo, em campanhas de monitorização ambiental, justificam os autores do estudo agora </w:t>
      </w:r>
      <w:r w:rsidRPr="00520BB9">
        <w:rPr>
          <w:rFonts w:eastAsia="Times New Roman" w:cstheme="minorHAnsi"/>
          <w:color w:val="000000"/>
          <w:sz w:val="24"/>
          <w:szCs w:val="24"/>
          <w:lang w:val="pt-PT" w:eastAsia="pt-PT"/>
        </w:rPr>
        <w:lastRenderedPageBreak/>
        <w:t>publicado. Só assim é que a UE liderará o mundo pelo exemplo e ação no que diz respeito à conservação da biodiversidade, acrescentam.</w:t>
      </w:r>
    </w:p>
    <w:p w14:paraId="3FD2DC07" w14:textId="2CFC0539" w:rsidR="00520BB9" w:rsidRPr="005C5157" w:rsidRDefault="00520BB9">
      <w:pPr>
        <w:rPr>
          <w:rFonts w:cstheme="minorHAnsi"/>
          <w:sz w:val="24"/>
          <w:szCs w:val="24"/>
          <w:lang w:val="pt-PT"/>
        </w:rPr>
      </w:pPr>
    </w:p>
    <w:p w14:paraId="5B6123B6" w14:textId="38A3EC50" w:rsidR="005C5157" w:rsidRPr="005C5157" w:rsidRDefault="005C5157">
      <w:pPr>
        <w:rPr>
          <w:rFonts w:cstheme="minorHAnsi"/>
          <w:sz w:val="24"/>
          <w:szCs w:val="24"/>
          <w:lang w:val="pt-PT"/>
        </w:rPr>
      </w:pPr>
    </w:p>
    <w:p w14:paraId="03AD81D2" w14:textId="04A7178F" w:rsidR="005C5157" w:rsidRPr="005C5157" w:rsidRDefault="005C5157">
      <w:pPr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</w:pPr>
      <w:r w:rsidRPr="005C515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Gabinete de Comunicação e Imagem</w:t>
      </w:r>
      <w:r w:rsidRPr="005C5157">
        <w:rPr>
          <w:rFonts w:cstheme="minorHAnsi"/>
          <w:color w:val="000000"/>
          <w:sz w:val="24"/>
          <w:szCs w:val="24"/>
          <w:lang w:val="pt-PT"/>
        </w:rPr>
        <w:t xml:space="preserve"> - </w:t>
      </w:r>
      <w:r w:rsidRPr="005C515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Universidade do Minho</w:t>
      </w:r>
    </w:p>
    <w:p w14:paraId="330979C9" w14:textId="16E2A29B" w:rsidR="005C5157" w:rsidRPr="005C5157" w:rsidRDefault="005C5157">
      <w:pPr>
        <w:rPr>
          <w:rFonts w:cstheme="minorHAnsi"/>
          <w:sz w:val="24"/>
          <w:szCs w:val="24"/>
          <w:lang w:val="pt-PT"/>
        </w:rPr>
      </w:pPr>
      <w:r w:rsidRPr="005C5157">
        <w:rPr>
          <w:rFonts w:cstheme="minorHAnsi"/>
          <w:color w:val="000000"/>
          <w:sz w:val="24"/>
          <w:szCs w:val="24"/>
          <w:shd w:val="clear" w:color="auto" w:fill="FFFFFF"/>
          <w:lang w:val="pt-PT"/>
        </w:rPr>
        <w:t>Ciência na Imprensa Regional – Ciência Viva</w:t>
      </w:r>
    </w:p>
    <w:sectPr w:rsidR="005C5157" w:rsidRPr="005C5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FF"/>
    <w:rsid w:val="000540FF"/>
    <w:rsid w:val="001E0B3B"/>
    <w:rsid w:val="002C2BE2"/>
    <w:rsid w:val="00520BB9"/>
    <w:rsid w:val="00543EC9"/>
    <w:rsid w:val="005C5157"/>
    <w:rsid w:val="00C2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E3A9"/>
  <w15:chartTrackingRefBased/>
  <w15:docId w15:val="{34A23856-A960-48A2-9A8A-EA0F302F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520BB9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sid w:val="00520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bio.up.pt/" TargetMode="External"/><Relationship Id="rId5" Type="http://schemas.openxmlformats.org/officeDocument/2006/relationships/hyperlink" Target="https://humpback.ci.uc.pt/roundcube/" TargetMode="External"/><Relationship Id="rId4" Type="http://schemas.openxmlformats.org/officeDocument/2006/relationships/hyperlink" Target="https://royalsocietypublishing.org/doi/10.1098/rspb.2020.21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2020-12-15T11:02:00Z</dcterms:created>
  <dcterms:modified xsi:type="dcterms:W3CDTF">2020-12-15T11:05:00Z</dcterms:modified>
</cp:coreProperties>
</file>