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B2" w:rsidRDefault="00116AC2">
      <w:pPr>
        <w:rPr>
          <w:rFonts w:ascii="Arial" w:hAnsi="Arial" w:cs="Arial"/>
          <w:b/>
          <w:bCs/>
          <w:color w:val="1F497D"/>
          <w:sz w:val="36"/>
          <w:szCs w:val="36"/>
        </w:rPr>
      </w:pPr>
      <w:r>
        <w:rPr>
          <w:rFonts w:ascii="Arial" w:hAnsi="Arial" w:cs="Arial"/>
          <w:b/>
          <w:bCs/>
          <w:color w:val="1F497D"/>
          <w:sz w:val="36"/>
          <w:szCs w:val="36"/>
        </w:rPr>
        <w:t>As Cores do Pensamento – A Arte Abstrata dos Neurónios</w:t>
      </w:r>
    </w:p>
    <w:p w:rsidR="005E1708" w:rsidRDefault="005E1708">
      <w:pPr>
        <w:rPr>
          <w:rFonts w:ascii="Arial" w:hAnsi="Arial" w:cs="Arial"/>
          <w:b/>
          <w:bCs/>
          <w:color w:val="1F497D"/>
          <w:sz w:val="36"/>
          <w:szCs w:val="36"/>
        </w:rPr>
      </w:pPr>
    </w:p>
    <w:p w:rsidR="005E1708" w:rsidRPr="005E1708" w:rsidRDefault="005E1708" w:rsidP="005E1708">
      <w:pPr>
        <w:shd w:val="clear" w:color="auto" w:fill="FFFFFF"/>
        <w:spacing w:after="0" w:line="240" w:lineRule="auto"/>
        <w:rPr>
          <w:rFonts w:ascii="Arial" w:eastAsia="Times New Roman" w:hAnsi="Arial" w:cs="Arial"/>
          <w:color w:val="222222"/>
          <w:sz w:val="12"/>
          <w:szCs w:val="12"/>
          <w:lang w:eastAsia="pt-PT"/>
        </w:rPr>
      </w:pPr>
      <w:r w:rsidRPr="005E1708">
        <w:rPr>
          <w:rFonts w:ascii="Arial" w:eastAsia="Times New Roman" w:hAnsi="Arial" w:cs="Arial"/>
          <w:color w:val="1F497D"/>
          <w:sz w:val="28"/>
          <w:szCs w:val="28"/>
          <w:lang w:eastAsia="pt-PT"/>
        </w:rPr>
        <w:t>Os Jardins da Fundação Gulbenkian e a Praça do Comércio preparam-se para acolher uma exposição inédita: painéis onde</w:t>
      </w:r>
      <w:r w:rsidRPr="005E1708">
        <w:rPr>
          <w:rFonts w:ascii="Arial" w:eastAsia="Times New Roman" w:hAnsi="Arial" w:cs="Arial"/>
          <w:color w:val="1F497D"/>
          <w:sz w:val="28"/>
          <w:lang w:eastAsia="pt-PT"/>
        </w:rPr>
        <w:t> </w:t>
      </w:r>
      <w:r w:rsidRPr="005E1708">
        <w:rPr>
          <w:rFonts w:ascii="Arial" w:eastAsia="Times New Roman" w:hAnsi="Arial" w:cs="Arial"/>
          <w:b/>
          <w:bCs/>
          <w:color w:val="1F497D"/>
          <w:sz w:val="28"/>
          <w:szCs w:val="28"/>
          <w:lang w:eastAsia="pt-PT"/>
        </w:rPr>
        <w:t>representações visuais do cérebro em grande formato estão lado a lado com reproduções de obras de arte</w:t>
      </w:r>
      <w:r w:rsidRPr="005E1708">
        <w:rPr>
          <w:rFonts w:ascii="Arial" w:eastAsia="Times New Roman" w:hAnsi="Arial" w:cs="Arial"/>
          <w:color w:val="1F497D"/>
          <w:sz w:val="28"/>
          <w:szCs w:val="28"/>
          <w:lang w:eastAsia="pt-PT"/>
        </w:rPr>
        <w:t xml:space="preserve">, algumas das quais pertencentes às coleções do Museu Gulbenkian e do CAM, de artistas como René </w:t>
      </w:r>
      <w:proofErr w:type="spellStart"/>
      <w:r w:rsidRPr="005E1708">
        <w:rPr>
          <w:rFonts w:ascii="Arial" w:eastAsia="Times New Roman" w:hAnsi="Arial" w:cs="Arial"/>
          <w:color w:val="1F497D"/>
          <w:sz w:val="28"/>
          <w:szCs w:val="28"/>
          <w:lang w:eastAsia="pt-PT"/>
        </w:rPr>
        <w:t>Lalique</w:t>
      </w:r>
      <w:proofErr w:type="spellEnd"/>
      <w:r w:rsidRPr="005E1708">
        <w:rPr>
          <w:rFonts w:ascii="Arial" w:eastAsia="Times New Roman" w:hAnsi="Arial" w:cs="Arial"/>
          <w:color w:val="1F497D"/>
          <w:sz w:val="28"/>
          <w:szCs w:val="28"/>
          <w:lang w:eastAsia="pt-PT"/>
        </w:rPr>
        <w:t xml:space="preserve"> e Manuel Cargaleiro. Mas outros nomes consagrados são igualmente convocados para esta mostra: William Turner, Claude Monet, Gustav </w:t>
      </w:r>
      <w:proofErr w:type="spellStart"/>
      <w:r w:rsidRPr="005E1708">
        <w:rPr>
          <w:rFonts w:ascii="Arial" w:eastAsia="Times New Roman" w:hAnsi="Arial" w:cs="Arial"/>
          <w:color w:val="1F497D"/>
          <w:sz w:val="28"/>
          <w:szCs w:val="28"/>
          <w:lang w:eastAsia="pt-PT"/>
        </w:rPr>
        <w:t>Klimt</w:t>
      </w:r>
      <w:proofErr w:type="spellEnd"/>
      <w:r w:rsidRPr="005E1708">
        <w:rPr>
          <w:rFonts w:ascii="Arial" w:eastAsia="Times New Roman" w:hAnsi="Arial" w:cs="Arial"/>
          <w:color w:val="1F497D"/>
          <w:sz w:val="28"/>
          <w:szCs w:val="28"/>
          <w:lang w:eastAsia="pt-PT"/>
        </w:rPr>
        <w:t xml:space="preserve">, Edvard </w:t>
      </w:r>
      <w:proofErr w:type="spellStart"/>
      <w:r w:rsidRPr="005E1708">
        <w:rPr>
          <w:rFonts w:ascii="Arial" w:eastAsia="Times New Roman" w:hAnsi="Arial" w:cs="Arial"/>
          <w:color w:val="1F497D"/>
          <w:sz w:val="28"/>
          <w:szCs w:val="28"/>
          <w:lang w:eastAsia="pt-PT"/>
        </w:rPr>
        <w:t>Munch</w:t>
      </w:r>
      <w:proofErr w:type="spellEnd"/>
      <w:r w:rsidRPr="005E1708">
        <w:rPr>
          <w:rFonts w:ascii="Arial" w:eastAsia="Times New Roman" w:hAnsi="Arial" w:cs="Arial"/>
          <w:color w:val="1F497D"/>
          <w:sz w:val="28"/>
          <w:szCs w:val="28"/>
          <w:lang w:eastAsia="pt-PT"/>
        </w:rPr>
        <w:t xml:space="preserve">, Robert </w:t>
      </w:r>
      <w:proofErr w:type="spellStart"/>
      <w:r w:rsidRPr="005E1708">
        <w:rPr>
          <w:rFonts w:ascii="Arial" w:eastAsia="Times New Roman" w:hAnsi="Arial" w:cs="Arial"/>
          <w:color w:val="1F497D"/>
          <w:sz w:val="28"/>
          <w:szCs w:val="28"/>
          <w:lang w:eastAsia="pt-PT"/>
        </w:rPr>
        <w:t>Delaunay</w:t>
      </w:r>
      <w:proofErr w:type="spellEnd"/>
      <w:r w:rsidRPr="005E1708">
        <w:rPr>
          <w:rFonts w:ascii="Arial" w:eastAsia="Times New Roman" w:hAnsi="Arial" w:cs="Arial"/>
          <w:color w:val="1F497D"/>
          <w:sz w:val="28"/>
          <w:szCs w:val="28"/>
          <w:lang w:eastAsia="pt-PT"/>
        </w:rPr>
        <w:t xml:space="preserve"> ou Salvador </w:t>
      </w:r>
      <w:proofErr w:type="spellStart"/>
      <w:r w:rsidRPr="005E1708">
        <w:rPr>
          <w:rFonts w:ascii="Arial" w:eastAsia="Times New Roman" w:hAnsi="Arial" w:cs="Arial"/>
          <w:color w:val="1F497D"/>
          <w:sz w:val="28"/>
          <w:szCs w:val="28"/>
          <w:lang w:eastAsia="pt-PT"/>
        </w:rPr>
        <w:t>Dalí</w:t>
      </w:r>
      <w:proofErr w:type="spellEnd"/>
      <w:r w:rsidRPr="005E1708">
        <w:rPr>
          <w:rFonts w:ascii="Arial" w:eastAsia="Times New Roman" w:hAnsi="Arial" w:cs="Arial"/>
          <w:color w:val="1F497D"/>
          <w:sz w:val="28"/>
          <w:szCs w:val="28"/>
          <w:lang w:eastAsia="pt-PT"/>
        </w:rPr>
        <w:t>.</w:t>
      </w:r>
    </w:p>
    <w:p w:rsidR="005E1708" w:rsidRPr="005E1708" w:rsidRDefault="005E1708" w:rsidP="005E1708">
      <w:pPr>
        <w:shd w:val="clear" w:color="auto" w:fill="FFFFFF"/>
        <w:spacing w:after="0" w:line="240" w:lineRule="auto"/>
        <w:rPr>
          <w:rFonts w:ascii="Arial" w:eastAsia="Times New Roman" w:hAnsi="Arial" w:cs="Arial"/>
          <w:color w:val="222222"/>
          <w:sz w:val="12"/>
          <w:szCs w:val="12"/>
          <w:lang w:eastAsia="pt-PT"/>
        </w:rPr>
      </w:pPr>
      <w:r w:rsidRPr="005E1708">
        <w:rPr>
          <w:rFonts w:ascii="Arial" w:eastAsia="Times New Roman" w:hAnsi="Arial" w:cs="Arial"/>
          <w:color w:val="1F497D"/>
          <w:sz w:val="24"/>
          <w:szCs w:val="24"/>
          <w:lang w:eastAsia="pt-PT"/>
        </w:rPr>
        <w:t> </w:t>
      </w:r>
    </w:p>
    <w:p w:rsidR="005E1708" w:rsidRPr="005E1708" w:rsidRDefault="005E1708" w:rsidP="005E1708">
      <w:pPr>
        <w:shd w:val="clear" w:color="auto" w:fill="FFFFFF"/>
        <w:spacing w:after="0" w:line="240" w:lineRule="auto"/>
        <w:rPr>
          <w:rFonts w:ascii="Arial" w:eastAsia="Times New Roman" w:hAnsi="Arial" w:cs="Arial"/>
          <w:color w:val="222222"/>
          <w:sz w:val="12"/>
          <w:szCs w:val="12"/>
          <w:lang w:eastAsia="pt-PT"/>
        </w:rPr>
      </w:pPr>
      <w:r w:rsidRPr="005E1708">
        <w:rPr>
          <w:rFonts w:ascii="Arial" w:eastAsia="Times New Roman" w:hAnsi="Arial" w:cs="Arial"/>
          <w:color w:val="1F497D"/>
          <w:sz w:val="24"/>
          <w:szCs w:val="24"/>
          <w:lang w:eastAsia="pt-PT"/>
        </w:rPr>
        <w:t>Em cada obra de arte projetam-se, de um modo indefinível, talento, técnica, memórias, experiências pessoais, que se entrecruzam numa rede muito complexa de relações celulares e se organizam em funções cerebrais variadas. A capacidade do cérebro humano para a integração multissensorial deve-se ao imenso desenvolvimento de conectividades que, comandando funções distintas, estão estreitamente ligadas entre si por feixes de fibras nervosas.</w:t>
      </w:r>
    </w:p>
    <w:p w:rsidR="005E1708" w:rsidRPr="005E1708" w:rsidRDefault="005E1708" w:rsidP="005E1708">
      <w:pPr>
        <w:shd w:val="clear" w:color="auto" w:fill="FFFFFF"/>
        <w:spacing w:after="0" w:line="240" w:lineRule="auto"/>
        <w:rPr>
          <w:rFonts w:ascii="Arial" w:eastAsia="Times New Roman" w:hAnsi="Arial" w:cs="Arial"/>
          <w:color w:val="222222"/>
          <w:sz w:val="12"/>
          <w:szCs w:val="12"/>
          <w:lang w:eastAsia="pt-PT"/>
        </w:rPr>
      </w:pPr>
      <w:r w:rsidRPr="005E1708">
        <w:rPr>
          <w:rFonts w:ascii="Arial" w:eastAsia="Times New Roman" w:hAnsi="Arial" w:cs="Arial"/>
          <w:color w:val="1F497D"/>
          <w:sz w:val="24"/>
          <w:szCs w:val="24"/>
          <w:lang w:eastAsia="pt-PT"/>
        </w:rPr>
        <w:t> </w:t>
      </w:r>
    </w:p>
    <w:p w:rsidR="005E1708" w:rsidRPr="005E1708" w:rsidRDefault="005E1708" w:rsidP="005E1708">
      <w:pPr>
        <w:shd w:val="clear" w:color="auto" w:fill="FFFFFF"/>
        <w:spacing w:after="0" w:line="240" w:lineRule="auto"/>
        <w:rPr>
          <w:rFonts w:ascii="Arial" w:eastAsia="Times New Roman" w:hAnsi="Arial" w:cs="Arial"/>
          <w:color w:val="222222"/>
          <w:sz w:val="12"/>
          <w:szCs w:val="12"/>
          <w:lang w:eastAsia="pt-PT"/>
        </w:rPr>
      </w:pPr>
      <w:r w:rsidRPr="005E1708">
        <w:rPr>
          <w:rFonts w:ascii="Arial" w:eastAsia="Times New Roman" w:hAnsi="Arial" w:cs="Arial"/>
          <w:color w:val="1F497D"/>
          <w:sz w:val="24"/>
          <w:szCs w:val="24"/>
          <w:lang w:eastAsia="pt-PT"/>
        </w:rPr>
        <w:t>Para investigar esta conectividade, a ciência moderna desenvolveu tecnologias muito sofisticadas como o método </w:t>
      </w:r>
      <w:proofErr w:type="spellStart"/>
      <w:r w:rsidRPr="005E1708">
        <w:rPr>
          <w:rFonts w:ascii="Arial" w:eastAsia="Times New Roman" w:hAnsi="Arial" w:cs="Arial"/>
          <w:i/>
          <w:iCs/>
          <w:color w:val="1F497D"/>
          <w:sz w:val="24"/>
          <w:szCs w:val="24"/>
          <w:lang w:eastAsia="pt-PT"/>
        </w:rPr>
        <w:t>Brainbow</w:t>
      </w:r>
      <w:proofErr w:type="spellEnd"/>
      <w:r w:rsidRPr="005E1708">
        <w:rPr>
          <w:rFonts w:ascii="Arial" w:eastAsia="Times New Roman" w:hAnsi="Arial" w:cs="Arial"/>
          <w:color w:val="1F497D"/>
          <w:sz w:val="24"/>
          <w:szCs w:val="24"/>
          <w:lang w:eastAsia="pt-PT"/>
        </w:rPr>
        <w:t>, ou arco-íris do cérebro, que permite reconhecer as células cinzentas e as fibras brancas através de uma miríade de cores fluorescentes, e a abordagem </w:t>
      </w:r>
      <w:proofErr w:type="spellStart"/>
      <w:r w:rsidRPr="005E1708">
        <w:rPr>
          <w:rFonts w:ascii="Arial" w:eastAsia="Times New Roman" w:hAnsi="Arial" w:cs="Arial"/>
          <w:i/>
          <w:iCs/>
          <w:color w:val="1F497D"/>
          <w:sz w:val="24"/>
          <w:szCs w:val="24"/>
          <w:lang w:eastAsia="pt-PT"/>
        </w:rPr>
        <w:t>Connectomics</w:t>
      </w:r>
      <w:proofErr w:type="spellEnd"/>
      <w:r w:rsidRPr="005E1708">
        <w:rPr>
          <w:rFonts w:ascii="Arial" w:eastAsia="Times New Roman" w:hAnsi="Arial" w:cs="Arial"/>
          <w:color w:val="1F497D"/>
          <w:sz w:val="24"/>
          <w:szCs w:val="24"/>
          <w:lang w:eastAsia="pt-PT"/>
        </w:rPr>
        <w:t>, que distingue os neurónios que estão ligados entre si, produzindo um mapa fascinante de afinidades sinápticas, visualizado a três dimensões.</w:t>
      </w:r>
    </w:p>
    <w:p w:rsidR="005E1708" w:rsidRPr="005E1708" w:rsidRDefault="005E1708" w:rsidP="005E1708">
      <w:pPr>
        <w:shd w:val="clear" w:color="auto" w:fill="FFFFFF"/>
        <w:spacing w:after="0" w:line="240" w:lineRule="auto"/>
        <w:rPr>
          <w:rFonts w:ascii="Arial" w:eastAsia="Times New Roman" w:hAnsi="Arial" w:cs="Arial"/>
          <w:color w:val="222222"/>
          <w:sz w:val="12"/>
          <w:szCs w:val="12"/>
          <w:lang w:eastAsia="pt-PT"/>
        </w:rPr>
      </w:pPr>
      <w:r w:rsidRPr="005E1708">
        <w:rPr>
          <w:rFonts w:ascii="Arial" w:eastAsia="Times New Roman" w:hAnsi="Arial" w:cs="Arial"/>
          <w:color w:val="1F497D"/>
          <w:sz w:val="24"/>
          <w:szCs w:val="24"/>
          <w:lang w:eastAsia="pt-PT"/>
        </w:rPr>
        <w:t> </w:t>
      </w:r>
    </w:p>
    <w:p w:rsidR="005E1708" w:rsidRPr="005E1708" w:rsidRDefault="005E1708" w:rsidP="005E1708">
      <w:pPr>
        <w:shd w:val="clear" w:color="auto" w:fill="FFFFFF"/>
        <w:spacing w:after="0" w:line="240" w:lineRule="auto"/>
        <w:rPr>
          <w:rFonts w:ascii="Arial" w:eastAsia="Times New Roman" w:hAnsi="Arial" w:cs="Arial"/>
          <w:color w:val="222222"/>
          <w:sz w:val="12"/>
          <w:szCs w:val="12"/>
          <w:lang w:eastAsia="pt-PT"/>
        </w:rPr>
      </w:pPr>
      <w:r w:rsidRPr="005E1708">
        <w:rPr>
          <w:rFonts w:ascii="Arial" w:eastAsia="Times New Roman" w:hAnsi="Arial" w:cs="Arial"/>
          <w:color w:val="1F497D"/>
          <w:sz w:val="24"/>
          <w:szCs w:val="24"/>
          <w:lang w:eastAsia="pt-PT"/>
        </w:rPr>
        <w:t>Os investigadores da área das neurociências utilizam as cores vivas destas representações, feitas através de imagens que parecem retirar “a sua inspiração” de obras de artistas consagrados e, por isso, são apresentadas lado a lado, como se constituíssem uma verdadeira arte abstrata dos neurónios.</w:t>
      </w:r>
    </w:p>
    <w:p w:rsidR="005E1708" w:rsidRPr="005E1708" w:rsidRDefault="005E1708" w:rsidP="005E1708">
      <w:pPr>
        <w:shd w:val="clear" w:color="auto" w:fill="FFFFFF"/>
        <w:spacing w:after="0" w:line="240" w:lineRule="auto"/>
        <w:rPr>
          <w:rFonts w:ascii="Arial" w:eastAsia="Times New Roman" w:hAnsi="Arial" w:cs="Arial"/>
          <w:color w:val="222222"/>
          <w:sz w:val="12"/>
          <w:szCs w:val="12"/>
          <w:lang w:eastAsia="pt-PT"/>
        </w:rPr>
      </w:pPr>
      <w:r w:rsidRPr="005E1708">
        <w:rPr>
          <w:rFonts w:ascii="Arial" w:eastAsia="Times New Roman" w:hAnsi="Arial" w:cs="Arial"/>
          <w:color w:val="1F497D"/>
          <w:sz w:val="24"/>
          <w:szCs w:val="24"/>
          <w:lang w:eastAsia="pt-PT"/>
        </w:rPr>
        <w:t> </w:t>
      </w:r>
    </w:p>
    <w:p w:rsidR="005E1708" w:rsidRPr="005E1708" w:rsidRDefault="005E1708" w:rsidP="005E1708">
      <w:pPr>
        <w:shd w:val="clear" w:color="auto" w:fill="FFFFFF"/>
        <w:spacing w:after="0" w:line="240" w:lineRule="auto"/>
        <w:rPr>
          <w:rFonts w:ascii="Arial" w:eastAsia="Times New Roman" w:hAnsi="Arial" w:cs="Arial"/>
          <w:color w:val="222222"/>
          <w:sz w:val="12"/>
          <w:szCs w:val="12"/>
          <w:lang w:eastAsia="pt-PT"/>
        </w:rPr>
      </w:pPr>
      <w:r w:rsidRPr="005E1708">
        <w:rPr>
          <w:rFonts w:ascii="Arial" w:eastAsia="Times New Roman" w:hAnsi="Arial" w:cs="Arial"/>
          <w:color w:val="1F497D"/>
          <w:sz w:val="24"/>
          <w:szCs w:val="24"/>
          <w:lang w:eastAsia="pt-PT"/>
        </w:rPr>
        <w:t xml:space="preserve">Esta exposição realizou-se pela primeira vez em 2011, em Milão. Em 2012, recria-se em Paris, </w:t>
      </w:r>
      <w:proofErr w:type="spellStart"/>
      <w:r w:rsidRPr="005E1708">
        <w:rPr>
          <w:rFonts w:ascii="Arial" w:eastAsia="Times New Roman" w:hAnsi="Arial" w:cs="Arial"/>
          <w:color w:val="1F497D"/>
          <w:sz w:val="24"/>
          <w:szCs w:val="24"/>
          <w:lang w:eastAsia="pt-PT"/>
        </w:rPr>
        <w:t>Deauville</w:t>
      </w:r>
      <w:proofErr w:type="spellEnd"/>
      <w:r w:rsidRPr="005E1708">
        <w:rPr>
          <w:rFonts w:ascii="Arial" w:eastAsia="Times New Roman" w:hAnsi="Arial" w:cs="Arial"/>
          <w:color w:val="1F497D"/>
          <w:sz w:val="24"/>
          <w:szCs w:val="24"/>
          <w:lang w:eastAsia="pt-PT"/>
        </w:rPr>
        <w:t xml:space="preserve">, Mónaco e também em Lisboa, por iniciativa da Fundação Gulbenkian e da Universidade Hebraica de Jerusalém, através do </w:t>
      </w:r>
      <w:proofErr w:type="spellStart"/>
      <w:r w:rsidRPr="005E1708">
        <w:rPr>
          <w:rFonts w:ascii="Arial" w:eastAsia="Times New Roman" w:hAnsi="Arial" w:cs="Arial"/>
          <w:color w:val="1F497D"/>
          <w:sz w:val="24"/>
          <w:szCs w:val="24"/>
          <w:lang w:eastAsia="pt-PT"/>
        </w:rPr>
        <w:t>Edmond</w:t>
      </w:r>
      <w:proofErr w:type="spellEnd"/>
      <w:r w:rsidRPr="005E1708">
        <w:rPr>
          <w:rFonts w:ascii="Arial" w:eastAsia="Times New Roman" w:hAnsi="Arial" w:cs="Arial"/>
          <w:color w:val="1F497D"/>
          <w:sz w:val="24"/>
          <w:szCs w:val="24"/>
          <w:lang w:eastAsia="pt-PT"/>
        </w:rPr>
        <w:t xml:space="preserve"> &amp; </w:t>
      </w:r>
      <w:proofErr w:type="spellStart"/>
      <w:r w:rsidRPr="005E1708">
        <w:rPr>
          <w:rFonts w:ascii="Arial" w:eastAsia="Times New Roman" w:hAnsi="Arial" w:cs="Arial"/>
          <w:color w:val="1F497D"/>
          <w:sz w:val="24"/>
          <w:szCs w:val="24"/>
          <w:lang w:eastAsia="pt-PT"/>
        </w:rPr>
        <w:t>Lily</w:t>
      </w:r>
      <w:proofErr w:type="spellEnd"/>
      <w:r w:rsidRPr="005E1708">
        <w:rPr>
          <w:rFonts w:ascii="Arial" w:eastAsia="Times New Roman" w:hAnsi="Arial" w:cs="Arial"/>
          <w:color w:val="1F497D"/>
          <w:sz w:val="24"/>
          <w:szCs w:val="24"/>
          <w:lang w:eastAsia="pt-PT"/>
        </w:rPr>
        <w:t xml:space="preserve"> Safra Centre for </w:t>
      </w:r>
      <w:proofErr w:type="spellStart"/>
      <w:r w:rsidRPr="005E1708">
        <w:rPr>
          <w:rFonts w:ascii="Arial" w:eastAsia="Times New Roman" w:hAnsi="Arial" w:cs="Arial"/>
          <w:color w:val="1F497D"/>
          <w:sz w:val="24"/>
          <w:szCs w:val="24"/>
          <w:lang w:eastAsia="pt-PT"/>
        </w:rPr>
        <w:t>Brain</w:t>
      </w:r>
      <w:proofErr w:type="spellEnd"/>
      <w:r w:rsidRPr="005E1708">
        <w:rPr>
          <w:rFonts w:ascii="Arial" w:eastAsia="Times New Roman" w:hAnsi="Arial" w:cs="Arial"/>
          <w:color w:val="1F497D"/>
          <w:sz w:val="24"/>
          <w:szCs w:val="24"/>
          <w:lang w:eastAsia="pt-PT"/>
        </w:rPr>
        <w:t xml:space="preserve"> </w:t>
      </w:r>
      <w:proofErr w:type="spellStart"/>
      <w:r w:rsidRPr="005E1708">
        <w:rPr>
          <w:rFonts w:ascii="Arial" w:eastAsia="Times New Roman" w:hAnsi="Arial" w:cs="Arial"/>
          <w:color w:val="1F497D"/>
          <w:sz w:val="24"/>
          <w:szCs w:val="24"/>
          <w:lang w:eastAsia="pt-PT"/>
        </w:rPr>
        <w:t>Sciences</w:t>
      </w:r>
      <w:proofErr w:type="spellEnd"/>
      <w:r w:rsidRPr="005E1708">
        <w:rPr>
          <w:rFonts w:ascii="Arial" w:eastAsia="Times New Roman" w:hAnsi="Arial" w:cs="Arial"/>
          <w:color w:val="1F497D"/>
          <w:sz w:val="24"/>
          <w:szCs w:val="24"/>
          <w:lang w:eastAsia="pt-PT"/>
        </w:rPr>
        <w:t>.</w:t>
      </w:r>
    </w:p>
    <w:p w:rsidR="005E1708" w:rsidRPr="005E1708" w:rsidRDefault="005E1708" w:rsidP="005E1708">
      <w:pPr>
        <w:shd w:val="clear" w:color="auto" w:fill="FFFFFF"/>
        <w:spacing w:after="0" w:line="240" w:lineRule="auto"/>
        <w:rPr>
          <w:rFonts w:ascii="Arial" w:eastAsia="Times New Roman" w:hAnsi="Arial" w:cs="Arial"/>
          <w:color w:val="222222"/>
          <w:sz w:val="12"/>
          <w:szCs w:val="12"/>
          <w:lang w:eastAsia="pt-PT"/>
        </w:rPr>
      </w:pPr>
      <w:r w:rsidRPr="005E1708">
        <w:rPr>
          <w:rFonts w:ascii="Arial" w:eastAsia="Times New Roman" w:hAnsi="Arial" w:cs="Arial"/>
          <w:color w:val="1F497D"/>
          <w:sz w:val="24"/>
          <w:szCs w:val="24"/>
          <w:lang w:eastAsia="pt-PT"/>
        </w:rPr>
        <w:t> </w:t>
      </w:r>
    </w:p>
    <w:p w:rsidR="005E1708" w:rsidRPr="005E1708" w:rsidRDefault="005E1708" w:rsidP="005E1708">
      <w:pPr>
        <w:shd w:val="clear" w:color="auto" w:fill="FFFFFF"/>
        <w:spacing w:after="0" w:line="240" w:lineRule="auto"/>
        <w:rPr>
          <w:rFonts w:ascii="Arial" w:eastAsia="Times New Roman" w:hAnsi="Arial" w:cs="Arial"/>
          <w:color w:val="222222"/>
          <w:sz w:val="12"/>
          <w:szCs w:val="12"/>
          <w:lang w:eastAsia="pt-PT"/>
        </w:rPr>
      </w:pPr>
      <w:r w:rsidRPr="005E1708">
        <w:rPr>
          <w:rFonts w:ascii="Arial" w:eastAsia="Times New Roman" w:hAnsi="Arial" w:cs="Arial"/>
          <w:color w:val="1F497D"/>
          <w:sz w:val="24"/>
          <w:szCs w:val="24"/>
          <w:lang w:eastAsia="pt-PT"/>
        </w:rPr>
        <w:t>Em parceria com a Câmara Municipal de Lisboa, a exposição </w:t>
      </w:r>
      <w:r w:rsidRPr="005E1708">
        <w:rPr>
          <w:rFonts w:ascii="Arial" w:eastAsia="Times New Roman" w:hAnsi="Arial" w:cs="Arial"/>
          <w:b/>
          <w:bCs/>
          <w:color w:val="1F497D"/>
          <w:sz w:val="24"/>
          <w:szCs w:val="24"/>
          <w:lang w:eastAsia="pt-PT"/>
        </w:rPr>
        <w:t xml:space="preserve">As Cores do Pensamento – A Arte Abstrata dos </w:t>
      </w:r>
      <w:proofErr w:type="spellStart"/>
      <w:r w:rsidRPr="005E1708">
        <w:rPr>
          <w:rFonts w:ascii="Arial" w:eastAsia="Times New Roman" w:hAnsi="Arial" w:cs="Arial"/>
          <w:b/>
          <w:bCs/>
          <w:color w:val="1F497D"/>
          <w:sz w:val="24"/>
          <w:szCs w:val="24"/>
          <w:lang w:eastAsia="pt-PT"/>
        </w:rPr>
        <w:t>Neurónios</w:t>
      </w:r>
      <w:r w:rsidRPr="005E1708">
        <w:rPr>
          <w:rFonts w:ascii="Arial" w:eastAsia="Times New Roman" w:hAnsi="Arial" w:cs="Arial"/>
          <w:color w:val="1F497D"/>
          <w:sz w:val="24"/>
          <w:szCs w:val="24"/>
          <w:lang w:eastAsia="pt-PT"/>
        </w:rPr>
        <w:t>apresenta-se</w:t>
      </w:r>
      <w:proofErr w:type="spellEnd"/>
      <w:r w:rsidRPr="005E1708">
        <w:rPr>
          <w:rFonts w:ascii="Arial" w:eastAsia="Times New Roman" w:hAnsi="Arial" w:cs="Arial"/>
          <w:color w:val="1F497D"/>
          <w:sz w:val="24"/>
          <w:szCs w:val="24"/>
          <w:lang w:eastAsia="pt-PT"/>
        </w:rPr>
        <w:t xml:space="preserve"> ainda, em simultâneo e numa versão mais alargada, na Praça do Comércio. Esta exposição complementa a conferência agendada para dias 9 e 10 de outubro sobre o Cérebro</w:t>
      </w:r>
    </w:p>
    <w:p w:rsidR="005E1708" w:rsidRDefault="005E1708"/>
    <w:p w:rsidR="005E1708" w:rsidRDefault="005E1708">
      <w:r>
        <w:lastRenderedPageBreak/>
        <w:t>Sara Pais (IGC)</w:t>
      </w:r>
    </w:p>
    <w:p w:rsidR="005E1708" w:rsidRDefault="005E1708"/>
    <w:p w:rsidR="005E1708" w:rsidRDefault="005E1708">
      <w:r>
        <w:t>Ciência na Imprensa Regional – Ciência Viva</w:t>
      </w:r>
    </w:p>
    <w:sectPr w:rsidR="005E1708" w:rsidSect="00641C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116AC2"/>
    <w:rsid w:val="00116AC2"/>
    <w:rsid w:val="0024012E"/>
    <w:rsid w:val="005E1708"/>
    <w:rsid w:val="00641CA3"/>
    <w:rsid w:val="00C11DF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E1708"/>
  </w:style>
</w:styles>
</file>

<file path=word/webSettings.xml><?xml version="1.0" encoding="utf-8"?>
<w:webSettings xmlns:r="http://schemas.openxmlformats.org/officeDocument/2006/relationships" xmlns:w="http://schemas.openxmlformats.org/wordprocessingml/2006/main">
  <w:divs>
    <w:div w:id="525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1993</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2</cp:revision>
  <dcterms:created xsi:type="dcterms:W3CDTF">2012-09-20T17:00:00Z</dcterms:created>
  <dcterms:modified xsi:type="dcterms:W3CDTF">2012-09-20T17:02:00Z</dcterms:modified>
</cp:coreProperties>
</file>