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45" w:rsidRPr="00BA7B89" w:rsidRDefault="00EC476D" w:rsidP="00363045">
      <w:pPr>
        <w:spacing w:after="0"/>
        <w:jc w:val="both"/>
        <w:rPr>
          <w:b/>
          <w:sz w:val="28"/>
          <w:szCs w:val="28"/>
        </w:rPr>
      </w:pPr>
      <w:r w:rsidRPr="00BA7B89">
        <w:rPr>
          <w:b/>
          <w:sz w:val="28"/>
          <w:szCs w:val="28"/>
        </w:rPr>
        <w:t xml:space="preserve">10 </w:t>
      </w:r>
      <w:r w:rsidR="00363045" w:rsidRPr="00BA7B89">
        <w:rPr>
          <w:b/>
          <w:sz w:val="28"/>
          <w:szCs w:val="28"/>
        </w:rPr>
        <w:t>ANOS DE DESCODIFICAÇÃO DO GENOMA</w:t>
      </w:r>
      <w:r w:rsidRPr="00BA7B8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Um Pouco De História</w:t>
      </w:r>
      <w:r w:rsidR="00444E8C">
        <w:rPr>
          <w:b/>
          <w:sz w:val="28"/>
          <w:szCs w:val="28"/>
        </w:rPr>
        <w:t xml:space="preserve"> e Alguns Factos </w:t>
      </w:r>
    </w:p>
    <w:p w:rsidR="00363045" w:rsidRPr="00DA4D64" w:rsidRDefault="00363045" w:rsidP="00363045">
      <w:pPr>
        <w:spacing w:after="0"/>
        <w:jc w:val="both"/>
        <w:rPr>
          <w:sz w:val="20"/>
          <w:szCs w:val="20"/>
        </w:rPr>
      </w:pPr>
    </w:p>
    <w:p w:rsidR="00F76815" w:rsidRDefault="00EC476D" w:rsidP="0064395A">
      <w:pPr>
        <w:spacing w:after="0" w:line="360" w:lineRule="auto"/>
      </w:pPr>
      <w:r>
        <w:rPr>
          <w:sz w:val="24"/>
          <w:szCs w:val="24"/>
        </w:rPr>
        <w:t>Um longo caminho foi percorrido até ao Projecto do Genoma Humano. Vejamos neste 2º artigo da Professora Manuela Grazina, alguns dos marcos incontornáveis que o tornaram possível</w:t>
      </w:r>
      <w:r w:rsidR="00F76815">
        <w:t>.</w:t>
      </w:r>
      <w:r>
        <w:t xml:space="preserve"> </w:t>
      </w:r>
    </w:p>
    <w:p w:rsidR="00F76815" w:rsidRDefault="00F76815" w:rsidP="0064395A">
      <w:pPr>
        <w:spacing w:after="0" w:line="360" w:lineRule="auto"/>
        <w:rPr>
          <w:sz w:val="24"/>
          <w:szCs w:val="24"/>
        </w:rPr>
      </w:pPr>
    </w:p>
    <w:p w:rsidR="00363045" w:rsidRPr="00BA7B89" w:rsidRDefault="00363045" w:rsidP="0064395A">
      <w:pPr>
        <w:spacing w:after="0" w:line="360" w:lineRule="auto"/>
        <w:rPr>
          <w:sz w:val="24"/>
          <w:szCs w:val="24"/>
        </w:rPr>
      </w:pPr>
      <w:r w:rsidRPr="00BA7B89">
        <w:rPr>
          <w:sz w:val="24"/>
          <w:szCs w:val="24"/>
        </w:rPr>
        <w:t>Apesar da palavra “Genoma” nos remeter de imediato para o genoma nuclear, no núcleo das células, o facto é que temos dois genomas: esse que está no núcleo (</w:t>
      </w:r>
      <w:proofErr w:type="spellStart"/>
      <w:r w:rsidRPr="00BA7B89">
        <w:rPr>
          <w:sz w:val="24"/>
          <w:szCs w:val="24"/>
        </w:rPr>
        <w:t>ADNn</w:t>
      </w:r>
      <w:proofErr w:type="spellEnd"/>
      <w:r w:rsidRPr="00BA7B89">
        <w:rPr>
          <w:sz w:val="24"/>
          <w:szCs w:val="24"/>
        </w:rPr>
        <w:t>), que contém a maioria do código para nos transformar num ser humano, e um outro, muito mais pequeno (cerca de menos 180.000 nucleótidos), que é o mitocondrial (</w:t>
      </w:r>
      <w:proofErr w:type="spellStart"/>
      <w:r w:rsidRPr="00BA7B89">
        <w:rPr>
          <w:sz w:val="24"/>
          <w:szCs w:val="24"/>
        </w:rPr>
        <w:t>ADNmt</w:t>
      </w:r>
      <w:proofErr w:type="spellEnd"/>
      <w:r w:rsidRPr="00BA7B89">
        <w:rPr>
          <w:sz w:val="24"/>
          <w:szCs w:val="24"/>
        </w:rPr>
        <w:t xml:space="preserve">). Enquanto o </w:t>
      </w:r>
      <w:proofErr w:type="spellStart"/>
      <w:r w:rsidRPr="00BA7B89">
        <w:rPr>
          <w:sz w:val="24"/>
          <w:szCs w:val="24"/>
        </w:rPr>
        <w:t>ADNn</w:t>
      </w:r>
      <w:proofErr w:type="spellEnd"/>
      <w:r w:rsidRPr="00BA7B89">
        <w:rPr>
          <w:sz w:val="24"/>
          <w:szCs w:val="24"/>
        </w:rPr>
        <w:t xml:space="preserve"> está organizado em 46 cromossomas (23 herdados de cada progenitor), o </w:t>
      </w:r>
      <w:proofErr w:type="spellStart"/>
      <w:r w:rsidRPr="00BA7B89">
        <w:rPr>
          <w:sz w:val="24"/>
          <w:szCs w:val="24"/>
        </w:rPr>
        <w:t>ADNmt</w:t>
      </w:r>
      <w:proofErr w:type="spellEnd"/>
      <w:r w:rsidRPr="00BA7B89">
        <w:rPr>
          <w:sz w:val="24"/>
          <w:szCs w:val="24"/>
        </w:rPr>
        <w:t xml:space="preserve"> é circular, muito semelhante ao das bactérias, e encontra-se dentro de um organelo intracelular, a mitocôndria, que é a nossa “fábrica da energia</w:t>
      </w:r>
      <w:r w:rsidRPr="00F67F20">
        <w:rPr>
          <w:sz w:val="24"/>
          <w:szCs w:val="24"/>
        </w:rPr>
        <w:t xml:space="preserve">”. O </w:t>
      </w:r>
      <w:proofErr w:type="spellStart"/>
      <w:r w:rsidRPr="00F67F20">
        <w:rPr>
          <w:sz w:val="24"/>
          <w:szCs w:val="24"/>
        </w:rPr>
        <w:t>ADNmt</w:t>
      </w:r>
      <w:proofErr w:type="spellEnd"/>
      <w:r w:rsidRPr="00F67F20">
        <w:rPr>
          <w:sz w:val="24"/>
          <w:szCs w:val="24"/>
        </w:rPr>
        <w:t xml:space="preserve"> tem o código para formar 13 peças para esta “fábrica”, enquanto as restantes (cerca de 80, em adição a mais de mil necessárias para que o processo funcione) estão codificadas no </w:t>
      </w:r>
      <w:proofErr w:type="spellStart"/>
      <w:r w:rsidRPr="00F67F20">
        <w:rPr>
          <w:sz w:val="24"/>
          <w:szCs w:val="24"/>
        </w:rPr>
        <w:t>ADNn</w:t>
      </w:r>
      <w:proofErr w:type="spellEnd"/>
      <w:r w:rsidRPr="00F67F20">
        <w:rPr>
          <w:sz w:val="24"/>
          <w:szCs w:val="24"/>
        </w:rPr>
        <w:t>.</w:t>
      </w:r>
    </w:p>
    <w:p w:rsidR="00363045" w:rsidRPr="00BA7B89" w:rsidRDefault="00363045" w:rsidP="0064395A">
      <w:pPr>
        <w:spacing w:after="0" w:line="360" w:lineRule="auto"/>
        <w:rPr>
          <w:sz w:val="24"/>
          <w:szCs w:val="24"/>
        </w:rPr>
      </w:pPr>
      <w:r w:rsidRPr="00BA7B89">
        <w:rPr>
          <w:sz w:val="24"/>
          <w:szCs w:val="24"/>
        </w:rPr>
        <w:t xml:space="preserve">É importante referir que a descoberta de que o </w:t>
      </w:r>
      <w:proofErr w:type="spellStart"/>
      <w:r w:rsidRPr="00BA7B89">
        <w:rPr>
          <w:sz w:val="24"/>
          <w:szCs w:val="24"/>
        </w:rPr>
        <w:t>ADNn</w:t>
      </w:r>
      <w:proofErr w:type="spellEnd"/>
      <w:r w:rsidRPr="00BA7B89">
        <w:rPr>
          <w:sz w:val="24"/>
          <w:szCs w:val="24"/>
        </w:rPr>
        <w:t xml:space="preserve"> existia foi feita por Friedrich </w:t>
      </w:r>
      <w:proofErr w:type="spellStart"/>
      <w:r w:rsidRPr="00BA7B89">
        <w:rPr>
          <w:sz w:val="24"/>
          <w:szCs w:val="24"/>
        </w:rPr>
        <w:t>Miescher</w:t>
      </w:r>
      <w:proofErr w:type="spellEnd"/>
      <w:r w:rsidRPr="00BA7B89">
        <w:rPr>
          <w:sz w:val="24"/>
          <w:szCs w:val="24"/>
        </w:rPr>
        <w:t xml:space="preserve">, em 1869, enquanto a presença do </w:t>
      </w:r>
      <w:proofErr w:type="spellStart"/>
      <w:r w:rsidRPr="00BA7B89">
        <w:rPr>
          <w:sz w:val="24"/>
          <w:szCs w:val="24"/>
        </w:rPr>
        <w:t>ADNmt</w:t>
      </w:r>
      <w:proofErr w:type="spellEnd"/>
      <w:r w:rsidRPr="00BA7B89">
        <w:rPr>
          <w:sz w:val="24"/>
          <w:szCs w:val="24"/>
        </w:rPr>
        <w:t xml:space="preserve"> foi revelada por </w:t>
      </w:r>
      <w:proofErr w:type="spellStart"/>
      <w:r w:rsidRPr="00BA7B89">
        <w:rPr>
          <w:sz w:val="24"/>
          <w:szCs w:val="24"/>
        </w:rPr>
        <w:t>Slonimski</w:t>
      </w:r>
      <w:proofErr w:type="spellEnd"/>
      <w:r w:rsidRPr="00BA7B89">
        <w:rPr>
          <w:sz w:val="24"/>
          <w:szCs w:val="24"/>
        </w:rPr>
        <w:t xml:space="preserve"> e </w:t>
      </w:r>
      <w:proofErr w:type="spellStart"/>
      <w:r w:rsidRPr="00BA7B89">
        <w:rPr>
          <w:sz w:val="24"/>
          <w:szCs w:val="24"/>
        </w:rPr>
        <w:t>Ephrussi</w:t>
      </w:r>
      <w:proofErr w:type="spellEnd"/>
      <w:r w:rsidRPr="00BA7B89">
        <w:rPr>
          <w:sz w:val="24"/>
          <w:szCs w:val="24"/>
        </w:rPr>
        <w:t xml:space="preserve">, em 1949, publicado no </w:t>
      </w:r>
      <w:proofErr w:type="spellStart"/>
      <w:r w:rsidRPr="00BA7B89">
        <w:rPr>
          <w:i/>
          <w:iCs/>
          <w:sz w:val="24"/>
          <w:szCs w:val="24"/>
        </w:rPr>
        <w:t>Ann</w:t>
      </w:r>
      <w:proofErr w:type="spellEnd"/>
      <w:r w:rsidRPr="00BA7B89">
        <w:rPr>
          <w:i/>
          <w:iCs/>
          <w:sz w:val="24"/>
          <w:szCs w:val="24"/>
        </w:rPr>
        <w:t xml:space="preserve">. </w:t>
      </w:r>
      <w:proofErr w:type="spellStart"/>
      <w:r w:rsidRPr="00BA7B89">
        <w:rPr>
          <w:i/>
          <w:iCs/>
          <w:sz w:val="24"/>
          <w:szCs w:val="24"/>
        </w:rPr>
        <w:t>Inst</w:t>
      </w:r>
      <w:proofErr w:type="spellEnd"/>
      <w:r w:rsidRPr="00BA7B89">
        <w:rPr>
          <w:i/>
          <w:iCs/>
          <w:sz w:val="24"/>
          <w:szCs w:val="24"/>
        </w:rPr>
        <w:t>. Pasteur</w:t>
      </w:r>
      <w:r w:rsidRPr="00BA7B89">
        <w:rPr>
          <w:sz w:val="24"/>
          <w:szCs w:val="24"/>
        </w:rPr>
        <w:t xml:space="preserve"> (Paris). A sequência do </w:t>
      </w:r>
      <w:proofErr w:type="spellStart"/>
      <w:r w:rsidRPr="00BA7B89">
        <w:rPr>
          <w:sz w:val="24"/>
          <w:szCs w:val="24"/>
        </w:rPr>
        <w:t>ADNmt</w:t>
      </w:r>
      <w:proofErr w:type="spellEnd"/>
      <w:r w:rsidRPr="00BA7B89">
        <w:rPr>
          <w:sz w:val="24"/>
          <w:szCs w:val="24"/>
        </w:rPr>
        <w:t xml:space="preserve"> foi descodificada em 1981 por Anderson e colaboradores e publicada a 9 de Abril de 1981 na revista </w:t>
      </w:r>
      <w:proofErr w:type="spellStart"/>
      <w:r w:rsidRPr="00BA7B89">
        <w:rPr>
          <w:i/>
          <w:iCs/>
          <w:sz w:val="24"/>
          <w:szCs w:val="24"/>
        </w:rPr>
        <w:t>Nature</w:t>
      </w:r>
      <w:proofErr w:type="spellEnd"/>
      <w:r w:rsidRPr="00BA7B89">
        <w:rPr>
          <w:sz w:val="24"/>
          <w:szCs w:val="24"/>
        </w:rPr>
        <w:t xml:space="preserve">, como tendo 16.569 pares de bases, tendo sido posteriormente reanalisada e corrigida, por </w:t>
      </w:r>
      <w:proofErr w:type="spellStart"/>
      <w:r w:rsidRPr="00BA7B89">
        <w:rPr>
          <w:sz w:val="24"/>
          <w:szCs w:val="24"/>
        </w:rPr>
        <w:t>Andrews</w:t>
      </w:r>
      <w:proofErr w:type="spellEnd"/>
      <w:r w:rsidRPr="00BA7B89">
        <w:rPr>
          <w:sz w:val="24"/>
          <w:szCs w:val="24"/>
        </w:rPr>
        <w:t xml:space="preserve"> e colaboradores com o uso de tecnologias mais precisas (revista </w:t>
      </w:r>
      <w:proofErr w:type="spellStart"/>
      <w:r w:rsidRPr="00BA7B89">
        <w:rPr>
          <w:i/>
          <w:iCs/>
          <w:sz w:val="24"/>
          <w:szCs w:val="24"/>
        </w:rPr>
        <w:t>Nature</w:t>
      </w:r>
      <w:proofErr w:type="spellEnd"/>
      <w:r w:rsidRPr="00BA7B89">
        <w:rPr>
          <w:i/>
          <w:iCs/>
          <w:sz w:val="24"/>
          <w:szCs w:val="24"/>
        </w:rPr>
        <w:t xml:space="preserve"> </w:t>
      </w:r>
      <w:proofErr w:type="spellStart"/>
      <w:r w:rsidRPr="00BA7B89">
        <w:rPr>
          <w:i/>
          <w:iCs/>
          <w:sz w:val="24"/>
          <w:szCs w:val="24"/>
        </w:rPr>
        <w:t>Genetics</w:t>
      </w:r>
      <w:proofErr w:type="spellEnd"/>
      <w:r w:rsidRPr="00BA7B89">
        <w:rPr>
          <w:sz w:val="24"/>
          <w:szCs w:val="24"/>
        </w:rPr>
        <w:t>, Outubro de 1999), verificando-se que afinal tinha 16.568 pares de bases, mas a numeração anterior foi mantida para salvaguardar a nomenclatura das mutações identificadas até então, que eram dezenas.</w:t>
      </w:r>
    </w:p>
    <w:p w:rsidR="00EC476D" w:rsidRDefault="00EC476D" w:rsidP="0064395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Refira-se a propósito que a</w:t>
      </w:r>
      <w:r w:rsidRPr="00BA7B89">
        <w:rPr>
          <w:sz w:val="24"/>
          <w:szCs w:val="24"/>
        </w:rPr>
        <w:t xml:space="preserve"> forma como as características do </w:t>
      </w:r>
      <w:proofErr w:type="spellStart"/>
      <w:r w:rsidRPr="00BA7B89">
        <w:rPr>
          <w:sz w:val="24"/>
          <w:szCs w:val="24"/>
        </w:rPr>
        <w:t>ADNn</w:t>
      </w:r>
      <w:proofErr w:type="spellEnd"/>
      <w:r w:rsidRPr="00BA7B89">
        <w:rPr>
          <w:sz w:val="24"/>
          <w:szCs w:val="24"/>
        </w:rPr>
        <w:t xml:space="preserve"> são transmitidas de geração em geração (hereditariedade) foi trazida à luz com as famosas experiências com ervilhas de </w:t>
      </w:r>
      <w:proofErr w:type="spellStart"/>
      <w:r w:rsidRPr="00BA7B89">
        <w:rPr>
          <w:sz w:val="24"/>
          <w:szCs w:val="24"/>
        </w:rPr>
        <w:t>Gregor</w:t>
      </w:r>
      <w:proofErr w:type="spellEnd"/>
      <w:r w:rsidRPr="00BA7B89">
        <w:rPr>
          <w:sz w:val="24"/>
          <w:szCs w:val="24"/>
        </w:rPr>
        <w:t xml:space="preserve"> Johann Mendel (1822-1884), um monge e botânico austríaco, em meados do Séc. XIX. </w:t>
      </w:r>
      <w:r>
        <w:rPr>
          <w:sz w:val="24"/>
          <w:szCs w:val="24"/>
        </w:rPr>
        <w:t>Mas a</w:t>
      </w:r>
      <w:r w:rsidRPr="00BA7B89">
        <w:rPr>
          <w:sz w:val="24"/>
          <w:szCs w:val="24"/>
        </w:rPr>
        <w:t xml:space="preserve"> identificação da molécula responsável pela hereditariedade genética, que era afinal o ADN, teve a contribuição de </w:t>
      </w:r>
      <w:proofErr w:type="spellStart"/>
      <w:r w:rsidRPr="00BA7B89">
        <w:rPr>
          <w:sz w:val="24"/>
          <w:szCs w:val="24"/>
        </w:rPr>
        <w:t>Avery</w:t>
      </w:r>
      <w:proofErr w:type="spellEnd"/>
      <w:r w:rsidRPr="00BA7B89">
        <w:rPr>
          <w:sz w:val="24"/>
          <w:szCs w:val="24"/>
        </w:rPr>
        <w:t xml:space="preserve"> e colaboradores, </w:t>
      </w:r>
      <w:r>
        <w:rPr>
          <w:sz w:val="24"/>
          <w:szCs w:val="24"/>
        </w:rPr>
        <w:t xml:space="preserve">só </w:t>
      </w:r>
      <w:r w:rsidRPr="00BA7B89">
        <w:rPr>
          <w:sz w:val="24"/>
          <w:szCs w:val="24"/>
        </w:rPr>
        <w:t xml:space="preserve">publicada em 1944. </w:t>
      </w:r>
    </w:p>
    <w:p w:rsidR="00EC476D" w:rsidRPr="00BA7B89" w:rsidRDefault="00363045" w:rsidP="00EC476D">
      <w:pPr>
        <w:spacing w:after="0" w:line="360" w:lineRule="auto"/>
        <w:rPr>
          <w:sz w:val="24"/>
          <w:szCs w:val="24"/>
        </w:rPr>
      </w:pPr>
      <w:r w:rsidRPr="00BA7B89">
        <w:rPr>
          <w:sz w:val="24"/>
          <w:szCs w:val="24"/>
        </w:rPr>
        <w:lastRenderedPageBreak/>
        <w:t>Um dos grandes marcos da História do ADN foi a descrição da sua estrutura, em 19 de Abril de 1953, para o que contribuíram os famosos James Watson (</w:t>
      </w:r>
      <w:proofErr w:type="gramStart"/>
      <w:r w:rsidRPr="00BA7B89">
        <w:rPr>
          <w:sz w:val="24"/>
          <w:szCs w:val="24"/>
        </w:rPr>
        <w:t>1928-  )</w:t>
      </w:r>
      <w:proofErr w:type="gramEnd"/>
      <w:r w:rsidRPr="00BA7B89">
        <w:rPr>
          <w:sz w:val="24"/>
          <w:szCs w:val="24"/>
        </w:rPr>
        <w:t xml:space="preserve"> e Francis </w:t>
      </w:r>
      <w:proofErr w:type="spellStart"/>
      <w:r w:rsidRPr="00BA7B89">
        <w:rPr>
          <w:sz w:val="24"/>
          <w:szCs w:val="24"/>
        </w:rPr>
        <w:t>Crick</w:t>
      </w:r>
      <w:proofErr w:type="spellEnd"/>
      <w:r w:rsidRPr="00BA7B89">
        <w:rPr>
          <w:sz w:val="24"/>
          <w:szCs w:val="24"/>
        </w:rPr>
        <w:t xml:space="preserve"> (1916–2004), sem esquecer a contribuição de </w:t>
      </w:r>
      <w:proofErr w:type="spellStart"/>
      <w:r w:rsidRPr="00BA7B89">
        <w:rPr>
          <w:sz w:val="24"/>
          <w:szCs w:val="24"/>
        </w:rPr>
        <w:t>Rosalind</w:t>
      </w:r>
      <w:proofErr w:type="spellEnd"/>
      <w:r w:rsidRPr="00BA7B89">
        <w:rPr>
          <w:sz w:val="24"/>
          <w:szCs w:val="24"/>
        </w:rPr>
        <w:t xml:space="preserve"> Franklin (1920-1958) e Maurice </w:t>
      </w:r>
      <w:proofErr w:type="spellStart"/>
      <w:r w:rsidRPr="00BA7B89">
        <w:rPr>
          <w:sz w:val="24"/>
          <w:szCs w:val="24"/>
        </w:rPr>
        <w:t>Wilkins</w:t>
      </w:r>
      <w:proofErr w:type="spellEnd"/>
      <w:r w:rsidRPr="00BA7B89">
        <w:rPr>
          <w:sz w:val="24"/>
          <w:szCs w:val="24"/>
        </w:rPr>
        <w:t xml:space="preserve"> (1916-2004), que apresentaram a primeira cristalografia de raios-X da molécula do ADN, tendo-lhes sido atribuído o prémio Nobel da Medicina e Fisiologia em 1962.</w:t>
      </w:r>
      <w:r w:rsidR="00EC476D">
        <w:rPr>
          <w:sz w:val="24"/>
          <w:szCs w:val="24"/>
        </w:rPr>
        <w:t xml:space="preserve"> Ainda neste ano verificou-se</w:t>
      </w:r>
      <w:r w:rsidR="00EC476D" w:rsidRPr="00BA7B89">
        <w:rPr>
          <w:sz w:val="24"/>
          <w:szCs w:val="24"/>
        </w:rPr>
        <w:t xml:space="preserve"> mais um marco histórico na área da Genética: Marshall W. </w:t>
      </w:r>
      <w:proofErr w:type="spellStart"/>
      <w:r w:rsidR="00EC476D" w:rsidRPr="00BA7B89">
        <w:rPr>
          <w:sz w:val="24"/>
          <w:szCs w:val="24"/>
        </w:rPr>
        <w:t>Nirenberg</w:t>
      </w:r>
      <w:proofErr w:type="spellEnd"/>
      <w:r w:rsidR="00EC476D" w:rsidRPr="00BA7B89">
        <w:rPr>
          <w:sz w:val="24"/>
          <w:szCs w:val="24"/>
        </w:rPr>
        <w:t xml:space="preserve"> decifrou o código</w:t>
      </w:r>
      <w:r w:rsidR="00EC476D">
        <w:rPr>
          <w:sz w:val="24"/>
          <w:szCs w:val="24"/>
        </w:rPr>
        <w:t xml:space="preserve"> genético</w:t>
      </w:r>
      <w:r w:rsidR="00EC476D" w:rsidRPr="00BA7B89">
        <w:rPr>
          <w:sz w:val="24"/>
          <w:szCs w:val="24"/>
        </w:rPr>
        <w:t>.</w:t>
      </w:r>
    </w:p>
    <w:p w:rsidR="00F76815" w:rsidRPr="00BA7B89" w:rsidRDefault="00F76815" w:rsidP="00F7681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Outro passo importante na caminhada até ao Projecto do Genoma Humano foi </w:t>
      </w:r>
      <w:r w:rsidRPr="00BA7B89">
        <w:rPr>
          <w:sz w:val="24"/>
          <w:szCs w:val="24"/>
        </w:rPr>
        <w:t xml:space="preserve">a incontornável contribuição de </w:t>
      </w:r>
      <w:proofErr w:type="spellStart"/>
      <w:r w:rsidRPr="00BA7B89">
        <w:rPr>
          <w:sz w:val="24"/>
          <w:szCs w:val="24"/>
        </w:rPr>
        <w:t>Sanger</w:t>
      </w:r>
      <w:proofErr w:type="spellEnd"/>
      <w:r w:rsidRPr="00BA7B89">
        <w:rPr>
          <w:sz w:val="24"/>
          <w:szCs w:val="24"/>
        </w:rPr>
        <w:t xml:space="preserve"> e </w:t>
      </w:r>
      <w:proofErr w:type="spellStart"/>
      <w:r w:rsidRPr="00BA7B89">
        <w:rPr>
          <w:sz w:val="24"/>
          <w:szCs w:val="24"/>
        </w:rPr>
        <w:t>Coulson</w:t>
      </w:r>
      <w:proofErr w:type="spellEnd"/>
      <w:r w:rsidRPr="00BA7B89">
        <w:rPr>
          <w:sz w:val="24"/>
          <w:szCs w:val="24"/>
        </w:rPr>
        <w:t>, que descreveram, em 1975, um método que permitia conhecer em detalhe todas as letras de uma sequência de ADN.</w:t>
      </w:r>
    </w:p>
    <w:p w:rsidR="00F76815" w:rsidRDefault="00F76815" w:rsidP="0064395A">
      <w:pPr>
        <w:spacing w:after="0" w:line="360" w:lineRule="auto"/>
        <w:rPr>
          <w:sz w:val="24"/>
          <w:szCs w:val="24"/>
        </w:rPr>
      </w:pPr>
    </w:p>
    <w:p w:rsidR="00F67F20" w:rsidRPr="00BA7B89" w:rsidRDefault="00F67F20" w:rsidP="00F67F20">
      <w:pPr>
        <w:spacing w:after="0"/>
        <w:jc w:val="both"/>
        <w:rPr>
          <w:sz w:val="28"/>
          <w:szCs w:val="28"/>
        </w:rPr>
      </w:pPr>
      <w:r w:rsidRPr="00BA7B89">
        <w:rPr>
          <w:sz w:val="28"/>
          <w:szCs w:val="28"/>
        </w:rPr>
        <w:t>Manuela Grazina</w:t>
      </w:r>
    </w:p>
    <w:p w:rsidR="00F67F20" w:rsidRPr="00BA7B89" w:rsidRDefault="00F67F20" w:rsidP="00F67F20">
      <w:pPr>
        <w:spacing w:after="0"/>
        <w:jc w:val="both"/>
        <w:rPr>
          <w:sz w:val="28"/>
          <w:szCs w:val="28"/>
        </w:rPr>
      </w:pPr>
      <w:r w:rsidRPr="00BA7B89">
        <w:rPr>
          <w:sz w:val="28"/>
          <w:szCs w:val="28"/>
        </w:rPr>
        <w:t>Faculdade de Medicina e Centro de Neurociências e Biologia Celular, Universidade de Coimbra</w:t>
      </w:r>
    </w:p>
    <w:p w:rsidR="00BA7B89" w:rsidRDefault="00BA7B89" w:rsidP="0064395A">
      <w:pPr>
        <w:spacing w:line="360" w:lineRule="auto"/>
        <w:rPr>
          <w:sz w:val="28"/>
          <w:szCs w:val="28"/>
        </w:rPr>
      </w:pPr>
    </w:p>
    <w:p w:rsidR="00F67F20" w:rsidRDefault="00F67F20" w:rsidP="0064395A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>Ciência na Imprensa Regional - Ciência Viva</w:t>
      </w:r>
    </w:p>
    <w:p w:rsidR="00BA7B89" w:rsidRDefault="00BA7B89" w:rsidP="0064395A">
      <w:pPr>
        <w:spacing w:line="360" w:lineRule="auto"/>
        <w:rPr>
          <w:sz w:val="24"/>
          <w:szCs w:val="24"/>
        </w:rPr>
      </w:pPr>
    </w:p>
    <w:p w:rsidR="00BA7B89" w:rsidRDefault="00F67F20" w:rsidP="006439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Lista de</w:t>
      </w:r>
      <w:r w:rsidR="00BA7B89">
        <w:rPr>
          <w:sz w:val="24"/>
          <w:szCs w:val="24"/>
        </w:rPr>
        <w:t xml:space="preserve"> publicações </w:t>
      </w:r>
      <w:r>
        <w:rPr>
          <w:sz w:val="24"/>
          <w:szCs w:val="24"/>
        </w:rPr>
        <w:t>relevantes</w:t>
      </w:r>
      <w:r w:rsidR="00BA7B89">
        <w:rPr>
          <w:sz w:val="24"/>
          <w:szCs w:val="24"/>
        </w:rPr>
        <w:t xml:space="preserve"> </w:t>
      </w:r>
      <w:proofErr w:type="gramStart"/>
      <w:r w:rsidR="00BA7B89">
        <w:rPr>
          <w:sz w:val="24"/>
          <w:szCs w:val="24"/>
        </w:rPr>
        <w:t>em</w:t>
      </w:r>
      <w:proofErr w:type="gramEnd"/>
      <w:r w:rsidR="00BA7B89">
        <w:rPr>
          <w:sz w:val="24"/>
          <w:szCs w:val="24"/>
        </w:rPr>
        <w:t>:</w:t>
      </w:r>
      <w:r w:rsidR="00BA7B89" w:rsidRPr="00BA7B89">
        <w:rPr>
          <w:sz w:val="24"/>
          <w:szCs w:val="24"/>
        </w:rPr>
        <w:t xml:space="preserve"> </w:t>
      </w:r>
      <w:hyperlink r:id="rId4" w:history="1">
        <w:r w:rsidR="00BA7B89" w:rsidRPr="00EF153C">
          <w:rPr>
            <w:rStyle w:val="Hyperlink"/>
            <w:sz w:val="24"/>
            <w:szCs w:val="24"/>
          </w:rPr>
          <w:t>http://www.ornl.gov/sci/techresources/Human_Genome/project/journals/journals.shtml</w:t>
        </w:r>
      </w:hyperlink>
    </w:p>
    <w:p w:rsidR="008E2BB2" w:rsidRPr="00BA7B89" w:rsidRDefault="00444E8C" w:rsidP="0064395A">
      <w:pPr>
        <w:spacing w:line="360" w:lineRule="auto"/>
        <w:rPr>
          <w:sz w:val="24"/>
          <w:szCs w:val="24"/>
        </w:rPr>
      </w:pPr>
    </w:p>
    <w:sectPr w:rsidR="008E2BB2" w:rsidRPr="00BA7B89" w:rsidSect="00D84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045"/>
    <w:rsid w:val="000A20B6"/>
    <w:rsid w:val="0024012E"/>
    <w:rsid w:val="00363045"/>
    <w:rsid w:val="00444E8C"/>
    <w:rsid w:val="005C73A3"/>
    <w:rsid w:val="0064395A"/>
    <w:rsid w:val="006A243A"/>
    <w:rsid w:val="00A25D37"/>
    <w:rsid w:val="00BA7B89"/>
    <w:rsid w:val="00C11DF3"/>
    <w:rsid w:val="00CE3580"/>
    <w:rsid w:val="00D8481A"/>
    <w:rsid w:val="00DE5B3E"/>
    <w:rsid w:val="00EC476D"/>
    <w:rsid w:val="00F67F20"/>
    <w:rsid w:val="00F76815"/>
    <w:rsid w:val="00F9580A"/>
    <w:rsid w:val="00FA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B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nl.gov/sci/techresources/Human_Genome/project/journals/journal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8</cp:revision>
  <dcterms:created xsi:type="dcterms:W3CDTF">2013-04-14T15:20:00Z</dcterms:created>
  <dcterms:modified xsi:type="dcterms:W3CDTF">2013-04-14T16:33:00Z</dcterms:modified>
</cp:coreProperties>
</file>