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O que é o cyberbullying?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sz w:val="22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sz w:val="22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Bullying 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é um termo inglês utilizado na descrição de atos de violência física ou psicológica praticados por um indivíduo, normalmente o “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valentão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” de um grupo ou turma. Em inglês, o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bully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. Podemos definir o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cyberbullying 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como a prática de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bullying 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recorrendo a tecnologias de informação como a Internet, telemóveis ou quaisquer outros meios digitais que permitam interação entre utilizadores.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Os ataques são normalmente dirigidos a indivíduos que não se podem defender. São, frequentemente, física ou psicologicamente mais fracos, pertencentes a minorias étnicas ou com maiores dificuldades de adaptação social.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Note-se que apenas falamos em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cyberbullying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quando ambos os envolvidos (agressor e vítima) são menores. Se o agressor for um adulto, este comportamento é considerado perseguição ou assédio de menores.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Não existe um padrão para definir o relacionamento entre atacante e vítima, podendo ser colegas de escola, de turma, da equipa de desporto, etc. No entanto, é usual conhecerem-se da comunidade escolar. Quanto aos meios utilizados, estão apenas limitados pela imaginação do atacante e respetivos conhecimentos das novas tecnologias. Entre estes vetores de ataque, encontram-se: assédio através de Instant Messaging ou SMS, difamação em redes sociais, roubo de palavras-passe, utilização abusiva de identidade para publicação em blogues e redes sociais e envio de vírus e “malware”. É de notar que grande parte dos danos sobre a vítima resultam, frequentemente, de roubo ou usurpação de identidade. Quanto às motivações, não existe um perfil concreto, podendo o espectro de justificações estar compreendido entre afirmação social, raiva, revolta, vingança, frustração ou mero entretenimento.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 roubo de identidade é uma das formas mais graves de que o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cyberbullying 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se reveste, pelo que a consciencialização das crianças e jovens para a importância da proteção da privacidade é um fator preventivo. Na frente reativa, importa referir que o combate a este tipo de ataques é um problema complexo. Tanto na escola como em casa, é muito importante que a vítima sinta o apoio necessário, tanto para reportar o problema, como para receber ajuda. Sobretudo, pais e professores devem estar alerta para alterações radicais de temperamento e comportamento das crianças ou jovens a seu cargo e, sobretudo, nunca devem subestimar o impacto negativo que uma situação de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cyberbullying 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pode causar. 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sz w:val="22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200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Foto de Peter Close</w:t>
      </w:r>
    </w:p>
    <w:p w:rsidP="00000000" w:rsidRPr="00000000" w:rsidR="00000000" w:rsidDel="00000000" w:rsidRDefault="00000000">
      <w:pPr>
        <w:spacing w:lineRule="auto" w:after="200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(Existem ficheiros de imagem de mais alta resolução disponíveis para download)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sectPr>
      <w:pgSz w:w="11900" w:h="16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10-Cyberbullying-2391 c.docx</dc:title>
</cp:coreProperties>
</file>