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O que é o cibercrime?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Em Novembro de 1991 o estudante do MIT Robert Morris foi condenado a três anos de cadeia com pena suspensa, convertida em 400 horas de serviço comunitário e uma multa de 10 mil dólares. Numa altura em que a Internet ainda era um domínio dos académicos, um pequeno génio como Morris havia criado o primeiro verme (um vírus informático com capacidade de propagação pela rede) digno desse nome e, com ele, fez colapsar uma boa parte da Internet. O ‘verme’ Morris foi o primeiro grande incidente de segurança informática e resultou na criação do primeiro e mais prestigiado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Computer Emergency Response Team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mundial – o CERT/CC da Universidade de Carnegie Mellon, nos Estados Unidos.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 advento dos computadores pessoais, da Internet como mercadoria, e as alterações introduzidas por estes nas relações sociais, resultaram na centralização do papel das TIC nas vidas das pessoas. Com naturalidade começaram a surgir fenómenos de utilização das TIC no contexto das mais variadas acções tipificadas como crime.   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De facto, como está expresso na lei portuguesa número 109/2009, de 15 de Setembro, o cibercrime compreende os crimes em que o alvo são os sistemas informáticos, mas também os crimes convencionais realizados com recurso a dispositivos electrónicos e ainda aqueles em que, não sendo o computador o instrumento principal da actividade ilícita, o meio de realização de prova assume a forma digital. Por isto mesmo, a nova lei do cibercrime cria todo um conjunto de instrumentos de auxílio à investigação criminal e à produção de prova neste contexto.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Uma das características particulares do cibercrime é o seu caráter predominantemente transnacional. É frequente, por exemplo, na prática do crime de difamação, utilizar como veículo do acto ilícito principal um qualquer serviço de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blogs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ou rede social sediado nos Estados Unidos, fazendo depender a investigação criminal de provas residentes nesse país. Ora, consciente desta situação, o mesmo diploma – por força da ratificação da convenção do cibercrime – estabelece um ponto de contacto nacional, dentro da Polícia Judiciária, para exercício de prestação de assistência imediata e cooperação internacional entre autoridades nacionais competentes para a investigação criminal.</w:t>
      </w:r>
    </w:p>
    <w:p w:rsidP="00000000" w:rsidRPr="00000000" w:rsidR="00000000" w:rsidDel="00000000" w:rsidRDefault="00000000">
      <w:pPr>
        <w:spacing w:lineRule="auto" w:line="24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Verdana" w:hAnsi="Verdana" w:eastAsia="Verdana" w:ascii="Verdana"/>
          <w:rtl w:val="0"/>
        </w:rPr>
        <w:t xml:space="preserve">Mas isto não quer dizer que todos os crimes que encaixam na definição de cibercime sejam da responsabilidade da PJ. A competência da investigação criminal em Portugal encontra-se distribuída por várias entidades, desde a ASAE à PSP, pelo que, dependendo do tipo de crime em análise, a apresentação de queixa deverá ser feita junto da respectiva autoridade.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Foto de Alphaspirit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(Existem ficheiros de imagem de mais alta resolução disponíveis para download)</w:t>
      </w:r>
    </w:p>
    <w:sectPr>
      <w:pgSz w:w="11906" w:h="16838"/>
      <w:pgMar w:left="1701" w:right="1701" w:top="1417" w:bottom="14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12-O que é o cibercrime-2585 c.docx</dc:title>
</cp:coreProperties>
</file>