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Sinais de infeção no meu computador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sz w:val="22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sz w:val="22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Saber se um computador está infectado com um vírus ou outro tipo de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malware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não é uma tarefa simples para um especialista informático, quanto mais para o utilizador comum. É preciso lembrar que estes vírus, para além de tornarem o nosso computador lento, podem fazer coisas piores, como retirar dinheiro da nossa conta bancária, pelo que devemos removê-los quanto antes do nosso computador.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Há, no entanto, um conjunto de sinais no comportametno normal do computador que, com maior ou menor probabilidade, indiciam que o mesmo está infectado. São eles a degradação súbita da performance (lentidão) ou o aumento da instabilidade do seu computador (bloqueios frequentes); o surgimento de mensagens de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pop-up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, imagens ou sons estranhos ou ainda de aplicações instaladas sem o nosso consentimento;  a desativação espontânea dos mecanismos de proteção (antivírus, firewall, etc...); a incapacidade do sistema de reconhecer vogais acentuadas (ex: ao digitar “ã” surge no sistema “a~”) e uma atividade constante (e inexplicável) na sua ligação à Internet.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Adicionalmente existem alguns sintomas aplicacionais que podem também indiciar uma infeção, como a alteração da página inicial ou do motor de pesquisa preferido, o redireccionamento constante para páginas estranhas na Internet ou o surgimento de novos favoritos ou barras de ferramentas no seu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browser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; a publicação de comentários em redes sociais ou o estabelecimento de conversações em ferramentas de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instant messaging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(Skype, Google Talk, etc...) em seu nome; múltiplas devoluções de emails por falha na recepção que não reconhece como tendo sido enviados por si ou o surgimento do ícone do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Java 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na barra de tarefas sem que esteja a executar nenhuma aplicação baseada nesta tecnologia.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Caso o seu computador apresente um ou mais destes sintomas há uma forte probabilidade de que o mesmo está infectado, pelo que deverá proceder à sua limpeza ou solicitar a um especialista que o faça.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Dependendo do tipo específico de vírus que tenha infectado o seu sistema, esta limpeza poderá ter que passar pela reinstalação de todo o sistema, dado que muitos dos vírus possuem mecanismos para ludibriar as tradicionais ferramentas de limpeza e desinfeção como o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Malwarebytes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,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Spybot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ou outra ferramenta similar.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bookmarkStart w:id="0" w:colFirst="0" w:name="h.l3cvsqqc0yol" w:colLast="0"/>
      <w:bookmarkEnd w:id="0"/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Caso opte apenas pela desinfeção deverá fazê-lo, sempre que possível, correndo a respectiva ferramenta de limpeza através do “Modo de Segurança”. Em última instância poderá fazê-lo através de outra conta de utilizador do sistema (com privilégios de administração), mas nunca através da conta do utilizador afectado.</w:t>
      </w:r>
    </w:p>
    <w:p w:rsidP="00000000" w:rsidRPr="00000000" w:rsidR="00000000" w:rsidDel="00000000" w:rsidRDefault="00000000">
      <w:pPr>
        <w:contextualSpacing w:val="0"/>
      </w:pPr>
      <w:bookmarkStart w:id="1" w:colFirst="0" w:name="h.pa4xk1hgz99k" w:colLast="0"/>
      <w:bookmarkEnd w:id="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sz w:val="22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(Existem ficheiros de imagem de mais alta resolução disponíveis para download)</w:t>
      </w:r>
    </w:p>
    <w:sectPr>
      <w:pgSz w:w="11900" w:h="16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16-Sinais de Infecção do meu Computador-2564 c.docx</dc:title>
</cp:coreProperties>
</file>