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9F" w:rsidRPr="00C70EAE" w:rsidRDefault="009C1E9F" w:rsidP="00C70EAE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pt-PT"/>
        </w:rPr>
      </w:pPr>
      <w:r w:rsidRPr="00C70EAE">
        <w:rPr>
          <w:rFonts w:asciiTheme="minorHAnsi" w:hAnsiTheme="minorHAnsi"/>
          <w:b/>
          <w:sz w:val="28"/>
          <w:szCs w:val="28"/>
          <w:lang w:val="pt-PT"/>
        </w:rPr>
        <w:t xml:space="preserve">Menos </w:t>
      </w:r>
      <w:proofErr w:type="gramStart"/>
      <w:r w:rsidRPr="00C70EAE">
        <w:rPr>
          <w:rFonts w:asciiTheme="minorHAnsi" w:hAnsiTheme="minorHAnsi"/>
          <w:b/>
          <w:sz w:val="28"/>
          <w:szCs w:val="28"/>
          <w:lang w:val="pt-PT"/>
        </w:rPr>
        <w:t>calorias para</w:t>
      </w:r>
      <w:proofErr w:type="gramEnd"/>
      <w:r w:rsidRPr="00C70EAE">
        <w:rPr>
          <w:rFonts w:asciiTheme="minorHAnsi" w:hAnsiTheme="minorHAnsi"/>
          <w:b/>
          <w:sz w:val="28"/>
          <w:szCs w:val="28"/>
          <w:lang w:val="pt-PT"/>
        </w:rPr>
        <w:t xml:space="preserve"> atrasar o envelhecimento</w:t>
      </w:r>
    </w:p>
    <w:p w:rsidR="009C1E9F" w:rsidRPr="00C70EAE" w:rsidRDefault="009C1E9F" w:rsidP="009C1E9F">
      <w:pPr>
        <w:spacing w:line="360" w:lineRule="auto"/>
        <w:jc w:val="center"/>
        <w:rPr>
          <w:rFonts w:asciiTheme="minorHAnsi" w:hAnsiTheme="minorHAnsi"/>
          <w:b/>
          <w:lang w:val="pt-PT"/>
        </w:rPr>
      </w:pPr>
    </w:p>
    <w:p w:rsidR="009C1E9F" w:rsidRPr="00C70EAE" w:rsidRDefault="009C1E9F" w:rsidP="009C1E9F">
      <w:pPr>
        <w:spacing w:line="360" w:lineRule="auto"/>
        <w:jc w:val="both"/>
        <w:rPr>
          <w:rFonts w:asciiTheme="minorHAnsi" w:hAnsiTheme="minorHAnsi"/>
          <w:lang w:val="pt-PT"/>
        </w:rPr>
      </w:pPr>
      <w:r w:rsidRPr="00C70EAE">
        <w:rPr>
          <w:rFonts w:asciiTheme="minorHAnsi" w:hAnsiTheme="minorHAnsi"/>
          <w:b/>
          <w:lang w:val="pt-PT"/>
        </w:rPr>
        <w:t>Investigadores da Universidade de Coimbra explicam impacto das calorias no envelhecimento.</w:t>
      </w:r>
    </w:p>
    <w:p w:rsidR="009C1E9F" w:rsidRPr="00C70EAE" w:rsidRDefault="009C1E9F" w:rsidP="009C1E9F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9C1E9F" w:rsidRPr="00C70EAE" w:rsidRDefault="009C1E9F" w:rsidP="009C1E9F">
      <w:pPr>
        <w:spacing w:line="360" w:lineRule="auto"/>
        <w:jc w:val="both"/>
        <w:rPr>
          <w:rFonts w:asciiTheme="minorHAnsi" w:hAnsiTheme="minorHAnsi"/>
          <w:lang w:val="pt-PT"/>
        </w:rPr>
      </w:pPr>
      <w:r w:rsidRPr="00C70EAE">
        <w:rPr>
          <w:rFonts w:asciiTheme="minorHAnsi" w:hAnsiTheme="minorHAnsi"/>
          <w:lang w:val="pt-PT"/>
        </w:rPr>
        <w:t xml:space="preserve">Uma equipa de investigadores do Centro de Neurociências e Biologia Celular (CNC) da Universidade de Coimbra (UC), liderada por Cláudia Cavadas, descobriu um novo mecanismo que explica a forma como a diminuição do consumo de calorias atrasa o envelhecimento. O estudo foi publicado na última edição da revista norte-americana </w:t>
      </w:r>
      <w:proofErr w:type="spellStart"/>
      <w:r w:rsidRPr="00C70EAE">
        <w:rPr>
          <w:rFonts w:asciiTheme="minorHAnsi" w:hAnsiTheme="minorHAnsi"/>
          <w:lang w:val="pt-PT"/>
        </w:rPr>
        <w:t>Procedings</w:t>
      </w:r>
      <w:proofErr w:type="spellEnd"/>
      <w:r w:rsidRPr="00C70EAE">
        <w:rPr>
          <w:rFonts w:asciiTheme="minorHAnsi" w:hAnsiTheme="minorHAnsi"/>
          <w:lang w:val="pt-PT"/>
        </w:rPr>
        <w:t xml:space="preserve"> </w:t>
      </w:r>
      <w:proofErr w:type="spellStart"/>
      <w:r w:rsidRPr="00C70EAE">
        <w:rPr>
          <w:rFonts w:asciiTheme="minorHAnsi" w:hAnsiTheme="minorHAnsi"/>
          <w:lang w:val="pt-PT"/>
        </w:rPr>
        <w:t>of</w:t>
      </w:r>
      <w:proofErr w:type="spellEnd"/>
      <w:r w:rsidRPr="00C70EAE">
        <w:rPr>
          <w:rFonts w:asciiTheme="minorHAnsi" w:hAnsiTheme="minorHAnsi"/>
          <w:lang w:val="pt-PT"/>
        </w:rPr>
        <w:t xml:space="preserve"> </w:t>
      </w:r>
      <w:proofErr w:type="spellStart"/>
      <w:r w:rsidRPr="00C70EAE">
        <w:rPr>
          <w:rFonts w:asciiTheme="minorHAnsi" w:hAnsiTheme="minorHAnsi"/>
          <w:lang w:val="pt-PT"/>
        </w:rPr>
        <w:t>National</w:t>
      </w:r>
      <w:proofErr w:type="spellEnd"/>
      <w:r w:rsidRPr="00C70EAE">
        <w:rPr>
          <w:rFonts w:asciiTheme="minorHAnsi" w:hAnsiTheme="minorHAnsi"/>
          <w:lang w:val="pt-PT"/>
        </w:rPr>
        <w:t xml:space="preserve"> </w:t>
      </w:r>
      <w:proofErr w:type="spellStart"/>
      <w:r w:rsidRPr="00C70EAE">
        <w:rPr>
          <w:rFonts w:asciiTheme="minorHAnsi" w:hAnsiTheme="minorHAnsi"/>
          <w:lang w:val="pt-PT"/>
        </w:rPr>
        <w:t>Academy</w:t>
      </w:r>
      <w:proofErr w:type="spellEnd"/>
      <w:r w:rsidRPr="00C70EAE">
        <w:rPr>
          <w:rFonts w:asciiTheme="minorHAnsi" w:hAnsiTheme="minorHAnsi"/>
          <w:lang w:val="pt-PT"/>
        </w:rPr>
        <w:t xml:space="preserve"> </w:t>
      </w:r>
      <w:proofErr w:type="spellStart"/>
      <w:r w:rsidRPr="00C70EAE">
        <w:rPr>
          <w:rFonts w:asciiTheme="minorHAnsi" w:hAnsiTheme="minorHAnsi"/>
          <w:lang w:val="pt-PT"/>
        </w:rPr>
        <w:t>of</w:t>
      </w:r>
      <w:proofErr w:type="spellEnd"/>
      <w:r w:rsidRPr="00C70EAE">
        <w:rPr>
          <w:rFonts w:asciiTheme="minorHAnsi" w:hAnsiTheme="minorHAnsi"/>
          <w:lang w:val="pt-PT"/>
        </w:rPr>
        <w:t xml:space="preserve"> </w:t>
      </w:r>
      <w:proofErr w:type="spellStart"/>
      <w:r w:rsidRPr="00C70EAE">
        <w:rPr>
          <w:rFonts w:asciiTheme="minorHAnsi" w:hAnsiTheme="minorHAnsi"/>
          <w:lang w:val="pt-PT"/>
        </w:rPr>
        <w:t>Sciences</w:t>
      </w:r>
      <w:proofErr w:type="spellEnd"/>
      <w:r w:rsidRPr="00C70EAE">
        <w:rPr>
          <w:rFonts w:asciiTheme="minorHAnsi" w:hAnsiTheme="minorHAnsi"/>
          <w:lang w:val="pt-PT"/>
        </w:rPr>
        <w:t xml:space="preserve"> (PNAS).</w:t>
      </w:r>
    </w:p>
    <w:p w:rsidR="009C1E9F" w:rsidRPr="00C70EAE" w:rsidRDefault="009C1E9F" w:rsidP="009C1E9F">
      <w:pPr>
        <w:spacing w:line="360" w:lineRule="auto"/>
        <w:jc w:val="both"/>
        <w:rPr>
          <w:rFonts w:asciiTheme="minorHAnsi" w:hAnsiTheme="minorHAnsi"/>
          <w:lang w:val="pt-PT"/>
        </w:rPr>
      </w:pPr>
      <w:r w:rsidRPr="00C70EAE">
        <w:rPr>
          <w:rFonts w:asciiTheme="minorHAnsi" w:hAnsiTheme="minorHAnsi"/>
          <w:lang w:val="pt-PT"/>
        </w:rPr>
        <w:t>A investigação do CNC descreve um mecanismo inédito que explica que a redução de calorias aumenta a molécula ‘</w:t>
      </w:r>
      <w:proofErr w:type="spellStart"/>
      <w:r w:rsidRPr="00C70EAE">
        <w:rPr>
          <w:rFonts w:asciiTheme="minorHAnsi" w:hAnsiTheme="minorHAnsi"/>
          <w:lang w:val="pt-PT"/>
        </w:rPr>
        <w:t>neuropeptídeo</w:t>
      </w:r>
      <w:proofErr w:type="spellEnd"/>
      <w:r w:rsidRPr="00C70EAE">
        <w:rPr>
          <w:rFonts w:asciiTheme="minorHAnsi" w:hAnsiTheme="minorHAnsi"/>
          <w:lang w:val="pt-PT"/>
        </w:rPr>
        <w:t xml:space="preserve"> Y’ (NPY), a qual é responsável por estimular a “reciclagem celular”. O grupo estudou esta “reciclagem celular”, chamada de autofagia, nos neurónios de uma zona cerebral responsável pelo envelhecimento do corpo, o hipotálamo. </w:t>
      </w:r>
    </w:p>
    <w:p w:rsidR="009C1E9F" w:rsidRPr="00C70EAE" w:rsidRDefault="009C1E9F" w:rsidP="009C1E9F">
      <w:pPr>
        <w:spacing w:line="360" w:lineRule="auto"/>
        <w:jc w:val="both"/>
        <w:rPr>
          <w:rFonts w:asciiTheme="minorHAnsi" w:hAnsiTheme="minorHAnsi"/>
          <w:lang w:val="pt-PT"/>
        </w:rPr>
      </w:pPr>
      <w:r w:rsidRPr="00C70EAE">
        <w:rPr>
          <w:rFonts w:asciiTheme="minorHAnsi" w:hAnsiTheme="minorHAnsi"/>
          <w:lang w:val="pt-PT"/>
        </w:rPr>
        <w:t>Os resultados sugerem que a redução de calorias, em percentagens de 20% a 40%, sem se prescindir de nutrientes, pode atrasar o envelhecimento em ratinhos, por aumentar a produção de NPY que estimula, por sua vez, a autofagia no hipotálamo.</w:t>
      </w:r>
    </w:p>
    <w:p w:rsidR="009C1E9F" w:rsidRPr="00C70EAE" w:rsidRDefault="009C1E9F" w:rsidP="009C1E9F">
      <w:pPr>
        <w:spacing w:line="360" w:lineRule="auto"/>
        <w:jc w:val="both"/>
        <w:rPr>
          <w:rFonts w:asciiTheme="minorHAnsi" w:hAnsiTheme="minorHAnsi"/>
          <w:lang w:val="pt-PT"/>
        </w:rPr>
      </w:pPr>
      <w:r w:rsidRPr="00C70EAE">
        <w:rPr>
          <w:rFonts w:asciiTheme="minorHAnsi" w:hAnsiTheme="minorHAnsi"/>
          <w:lang w:val="pt-PT"/>
        </w:rPr>
        <w:t>A líder do grupo de investigação, Cláudia Cavadas, sublinha que «este estudo, realizado durante cerca de três anos no CNC e que envolveu vários investigadores, mostra, pela primeira vez, que o NPY no hipotálamo é um elemento fundamental para que ocorra um aumento da autofagia induzida pela restrição calórica».</w:t>
      </w:r>
    </w:p>
    <w:p w:rsidR="009C1E9F" w:rsidRPr="00C70EAE" w:rsidRDefault="009C1E9F" w:rsidP="009C1E9F">
      <w:pPr>
        <w:spacing w:line="360" w:lineRule="auto"/>
        <w:jc w:val="both"/>
        <w:rPr>
          <w:rFonts w:asciiTheme="minorHAnsi" w:hAnsiTheme="minorHAnsi"/>
          <w:lang w:val="pt-PT"/>
        </w:rPr>
      </w:pPr>
      <w:r w:rsidRPr="00C70EAE">
        <w:rPr>
          <w:rFonts w:asciiTheme="minorHAnsi" w:hAnsiTheme="minorHAnsi"/>
          <w:lang w:val="pt-PT"/>
        </w:rPr>
        <w:t xml:space="preserve">Apesar de a comunidade científica já possuir o conhecimento de que a diminuição de calorias atrasa o envelhecimento, o grupo de investigação do CNC descobriu que o NPY explica como esse atraso ocorre no hipotálamo, e é nesta molécula que poderá estar a chave para combater os impactos negativos do envelhecimento. </w:t>
      </w:r>
    </w:p>
    <w:p w:rsidR="009C1E9F" w:rsidRPr="00C70EAE" w:rsidRDefault="009C1E9F" w:rsidP="009C1E9F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9C1E9F" w:rsidRPr="00C70EAE" w:rsidRDefault="009C1E9F" w:rsidP="009C1E9F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9C1E9F" w:rsidRPr="00C70EAE" w:rsidRDefault="009C1E9F" w:rsidP="00C70EAE">
      <w:pPr>
        <w:spacing w:line="360" w:lineRule="auto"/>
        <w:jc w:val="both"/>
        <w:rPr>
          <w:rFonts w:asciiTheme="minorHAnsi" w:hAnsiTheme="minorHAnsi"/>
          <w:lang w:val="pt-PT"/>
        </w:rPr>
      </w:pPr>
      <w:r w:rsidRPr="00C70EAE">
        <w:rPr>
          <w:rFonts w:asciiTheme="minorHAnsi" w:hAnsiTheme="minorHAnsi"/>
          <w:lang w:val="pt-PT"/>
        </w:rPr>
        <w:t>Cristina Pinto</w:t>
      </w:r>
      <w:r w:rsidR="00C70EAE" w:rsidRPr="00C70EAE">
        <w:rPr>
          <w:rFonts w:asciiTheme="minorHAnsi" w:hAnsiTheme="minorHAnsi"/>
          <w:lang w:val="pt-PT"/>
        </w:rPr>
        <w:t xml:space="preserve"> (</w:t>
      </w:r>
      <w:r w:rsidRPr="00C70EAE">
        <w:rPr>
          <w:rFonts w:asciiTheme="minorHAnsi" w:hAnsiTheme="minorHAnsi"/>
          <w:lang w:val="pt-PT"/>
        </w:rPr>
        <w:t>Assessoria de Imprensa - Universidade de Coimbra</w:t>
      </w:r>
      <w:r w:rsidR="00C70EAE" w:rsidRPr="00C70EAE">
        <w:rPr>
          <w:rFonts w:asciiTheme="minorHAnsi" w:hAnsiTheme="minorHAnsi"/>
          <w:lang w:val="pt-PT"/>
        </w:rPr>
        <w:t>)</w:t>
      </w:r>
    </w:p>
    <w:p w:rsidR="00C70EAE" w:rsidRPr="00C70EAE" w:rsidRDefault="00C70EAE" w:rsidP="00C70EAE">
      <w:pPr>
        <w:spacing w:line="360" w:lineRule="auto"/>
        <w:jc w:val="both"/>
        <w:rPr>
          <w:rFonts w:asciiTheme="minorHAnsi" w:hAnsiTheme="minorHAnsi"/>
          <w:lang w:val="pt-PT"/>
        </w:rPr>
      </w:pPr>
      <w:r w:rsidRPr="00C70EAE">
        <w:rPr>
          <w:rFonts w:asciiTheme="minorHAnsi" w:hAnsiTheme="minorHAnsi"/>
          <w:lang w:val="pt-PT"/>
        </w:rPr>
        <w:t>Ciência na Imprensa Regional – Ciência Viva</w:t>
      </w:r>
    </w:p>
    <w:p w:rsidR="009C1E9F" w:rsidRPr="00C70EAE" w:rsidRDefault="009C1E9F" w:rsidP="00C70EAE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C70EAE" w:rsidRPr="00C70EAE" w:rsidRDefault="00C70EAE" w:rsidP="00C70EAE">
      <w:pPr>
        <w:spacing w:line="360" w:lineRule="auto"/>
        <w:jc w:val="both"/>
        <w:rPr>
          <w:rFonts w:asciiTheme="minorHAnsi" w:hAnsiTheme="minorHAnsi"/>
          <w:lang w:val="pt-PT"/>
        </w:rPr>
      </w:pPr>
      <w:r w:rsidRPr="00C70EAE">
        <w:rPr>
          <w:rFonts w:asciiTheme="minorHAnsi" w:hAnsiTheme="minorHAnsi"/>
          <w:lang w:val="pt-PT"/>
        </w:rPr>
        <w:t>Referência do artigo:</w:t>
      </w:r>
    </w:p>
    <w:p w:rsidR="009F124E" w:rsidRPr="009C1E9F" w:rsidRDefault="009C1E9F" w:rsidP="009C1E9F">
      <w:pPr>
        <w:rPr>
          <w:lang w:val="pt-PT"/>
        </w:rPr>
      </w:pPr>
      <w:hyperlink r:id="rId4" w:history="1">
        <w:r w:rsidRPr="00322A60">
          <w:rPr>
            <w:rStyle w:val="Hiperligao"/>
            <w:lang w:val="pt-PT"/>
          </w:rPr>
          <w:t>http://www.pnas.org/content/early/2015/03/11/1416609112.abstract?sid=3758e7b5-3742-4c91-9f76-4b84536553bd</w:t>
        </w:r>
      </w:hyperlink>
    </w:p>
    <w:sectPr w:rsidR="009F124E" w:rsidRPr="009C1E9F" w:rsidSect="009F1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9C1E9F"/>
    <w:rsid w:val="009C1E9F"/>
    <w:rsid w:val="009F124E"/>
    <w:rsid w:val="00C7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9F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9C1E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nas.org/content/early/2015/03/11/1416609112.abstract?sid=3758e7b5-3742-4c91-9f76-4b84536553b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1766</Characters>
  <Application>Microsoft Office Word</Application>
  <DocSecurity>0</DocSecurity>
  <Lines>14</Lines>
  <Paragraphs>4</Paragraphs>
  <ScaleCrop>false</ScaleCrop>
  <Company>PERSONAL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2</cp:revision>
  <dcterms:created xsi:type="dcterms:W3CDTF">2015-03-18T12:38:00Z</dcterms:created>
  <dcterms:modified xsi:type="dcterms:W3CDTF">2015-03-18T12:40:00Z</dcterms:modified>
</cp:coreProperties>
</file>