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455E80" w:rsidRDefault="00AB777B">
      <w:pPr>
        <w:rPr>
          <w:rFonts w:eastAsia="Times New Roman"/>
          <w:b/>
          <w:color w:val="1A1A1A"/>
          <w:sz w:val="28"/>
          <w:szCs w:val="28"/>
          <w:lang w:eastAsia="pt-PT"/>
        </w:rPr>
      </w:pPr>
      <w:r w:rsidRPr="00455E80">
        <w:rPr>
          <w:rFonts w:eastAsia="Times New Roman"/>
          <w:b/>
          <w:color w:val="1A1A1A"/>
          <w:sz w:val="28"/>
          <w:szCs w:val="28"/>
          <w:lang w:eastAsia="pt-PT"/>
        </w:rPr>
        <w:t>Financiamento europeu a triplicar para biotecnologia da Universidade de Coimbra</w:t>
      </w:r>
    </w:p>
    <w:p w:rsidR="00AB777B" w:rsidRPr="00AB777B" w:rsidRDefault="00AB777B">
      <w:pPr>
        <w:rPr>
          <w:rFonts w:eastAsia="Times New Roman"/>
          <w:b/>
          <w:color w:val="1A1A1A"/>
          <w:sz w:val="24"/>
          <w:szCs w:val="24"/>
          <w:lang w:eastAsia="pt-PT"/>
        </w:rPr>
      </w:pP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Centro de Neurociências e Biologia Celular (CNC) da Universidade de Coimbra (UC) conquistou três projetos europeus que trazem para Portugal 380 mil euros para investigação em fígado, cancro e nano-segurança.</w:t>
      </w:r>
    </w:p>
    <w:p w:rsidR="00AB777B" w:rsidRPr="0063074E" w:rsidRDefault="00AB777B" w:rsidP="0063074E">
      <w:pPr>
        <w:spacing w:line="360" w:lineRule="auto"/>
        <w:ind w:firstLine="708"/>
        <w:jc w:val="both"/>
        <w:rPr>
          <w:rFonts w:eastAsia="Times New Roman"/>
          <w:color w:val="1A1A1A"/>
          <w:sz w:val="24"/>
          <w:szCs w:val="24"/>
          <w:lang w:eastAsia="pt-PT"/>
        </w:rPr>
      </w:pP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investigador Paulo Oliveira vai liderar um consórcio internacional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mtFOIEGRAS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>”, o segundo desde o recente projeto, também Europeu, “FOIEGRAS”, para investigar o Síndrome do Fígado Gordo Não-Alcoólico (SFGNA) numa perspetiva de desenvolvimento de ferramentas não-invasivas e rápidas para um diagnóstico mais preciso. As ferramentas são baseadas em alterações metabólicas, nomeadamente ao nível da produção de energia da célula hepática.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A SFGNA afeta 6 a 37% da população mundial e poderá ser uma “assassina silenciosa” porque os sintomas evidenciam-se em fases tardias, quando se apresenta incurável, contribuindo para o aumento do risco de diabetes, cirrose hepática e cancro. A doença é atualmente diagnosticada através da biopsia do fígado, um procedimento invasivo, arriscado e caro.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investigador João Nuno Moreira, do CNC e Faculdade de Farmácia da UC, coordena o consórcio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NanoDoxer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” que visa testar em modelos animais uma estratégia terapêutica, com sucesso já demonstrado a nível </w:t>
      </w:r>
      <w:proofErr w:type="gram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in vitro</w:t>
      </w:r>
      <w:proofErr w:type="gramEnd"/>
      <w:r w:rsidRPr="0063074E">
        <w:rPr>
          <w:rFonts w:eastAsia="Times New Roman"/>
          <w:color w:val="1A1A1A"/>
          <w:sz w:val="24"/>
          <w:szCs w:val="24"/>
          <w:lang w:eastAsia="pt-PT"/>
        </w:rPr>
        <w:t>, de combate ao cancro da mama triplo negativo e o neuroblastoma que não possuem atualmente terapias específicas.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A estratégica tem como alvo uma proteína (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nucleolina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) que se encontra presente nas células estaminais cancerígenas e que permite avaliar a sua “agressividade tumoral”. A proteína será abordada através de uma combinação de fármacos transportados por uma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nanopartícula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para reduzir o impacto do tumor e a sua recorrência.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A investigadora Olga Borges participa no projeto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GoNanoBioMat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”, coordenado pelo </w:t>
      </w:r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Empa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Swiss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Laboratory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of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Materials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Science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and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Technology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,</w:t>
      </w:r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Suíça, que irá desenvolver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lastRenderedPageBreak/>
        <w:t>nanomateriais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>, com função transportadora de fármacos (por exemplo, vacinas), através da implementação do conceito “safe-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by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>-design”, garantindo a sua segurança na utilização clínica e a avaliação do risco toxicológico.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projeto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mtFOIEGRAS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” conta com a participação da Associação Protetora dos Diabéticos de Portugal, Universidade de Lisboa, Universidade do Porto e de instituições académicas, clínicas e empresariais de Itália, Alemanha, Espanha, Polónia, Reino Unido e Áustria. A investigação é apoiada através do quadro de financiamento do Horizonte 2020 na tipologia “Marie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Skłodowska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-Curie Research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and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Innovation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Staff Exchange”.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consórcio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NanoDoxer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” é composto pela empresa portuguesa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Treat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-U, o IPO do Porto, o Instituto de Oncologia de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Vall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d’ Hebron (Espanha) e o Hospital Pediátrico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Gaslini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(Itália), tendo sido um dos 11 projetos financiados pela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Euronanomed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II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Joint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Transnational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Call-2015” de um total de 66 candidaturas. </w:t>
      </w:r>
    </w:p>
    <w:p w:rsidR="00AB777B" w:rsidRPr="0063074E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r w:rsidRPr="0063074E">
        <w:rPr>
          <w:rFonts w:eastAsia="Times New Roman"/>
          <w:color w:val="1A1A1A"/>
          <w:sz w:val="24"/>
          <w:szCs w:val="24"/>
          <w:lang w:eastAsia="pt-PT"/>
        </w:rPr>
        <w:t>O projeto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GoNanoBioMat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>”, financiado no quadro europeu da “</w:t>
      </w:r>
      <w:proofErr w:type="spellStart"/>
      <w:r w:rsidRPr="0063074E">
        <w:rPr>
          <w:rFonts w:eastAsia="Times New Roman"/>
          <w:color w:val="1A1A1A"/>
          <w:sz w:val="24"/>
          <w:szCs w:val="24"/>
          <w:lang w:eastAsia="pt-PT"/>
        </w:rPr>
        <w:t>ProSafe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” que visa promover a nano-segurança, conta com a participação da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University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of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Applied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Science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and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Arts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Western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Switzerland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,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University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of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proofErr w:type="gram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Geneve</w:t>
      </w:r>
      <w:proofErr w:type="spellEnd"/>
      <w:proofErr w:type="gram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,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Commission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of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Technology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and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Innovation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,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Hightechzentrum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Aargau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AG,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Institut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fur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praxisorientierte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Qualifikation</w:t>
      </w:r>
      <w:proofErr w:type="spellEnd"/>
      <w:r w:rsidRPr="0063074E">
        <w:rPr>
          <w:rFonts w:eastAsia="Times New Roman"/>
          <w:color w:val="1A1A1A"/>
          <w:sz w:val="24"/>
          <w:szCs w:val="24"/>
          <w:lang w:eastAsia="pt-PT"/>
        </w:rPr>
        <w:t xml:space="preserve"> e </w:t>
      </w:r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West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University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</w:t>
      </w:r>
      <w:proofErr w:type="spellStart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>of</w:t>
      </w:r>
      <w:proofErr w:type="spellEnd"/>
      <w:r w:rsidRPr="0063074E">
        <w:rPr>
          <w:rFonts w:eastAsia="Times New Roman"/>
          <w:i/>
          <w:color w:val="1A1A1A"/>
          <w:sz w:val="24"/>
          <w:szCs w:val="24"/>
          <w:lang w:eastAsia="pt-PT"/>
        </w:rPr>
        <w:t xml:space="preserve"> Timisoara</w:t>
      </w:r>
      <w:r w:rsidRPr="0063074E">
        <w:rPr>
          <w:rFonts w:eastAsia="Times New Roman"/>
          <w:color w:val="1A1A1A"/>
          <w:sz w:val="24"/>
          <w:szCs w:val="24"/>
          <w:lang w:eastAsia="pt-PT"/>
        </w:rPr>
        <w:t>.</w:t>
      </w:r>
    </w:p>
    <w:p w:rsidR="00AB777B" w:rsidRPr="00AB777B" w:rsidRDefault="00AB777B" w:rsidP="00AB777B">
      <w:pPr>
        <w:spacing w:line="360" w:lineRule="auto"/>
        <w:jc w:val="both"/>
        <w:rPr>
          <w:rFonts w:eastAsia="Times New Roman"/>
          <w:color w:val="1A1A1A"/>
          <w:sz w:val="24"/>
          <w:szCs w:val="24"/>
          <w:lang w:eastAsia="pt-PT"/>
        </w:rPr>
      </w:pPr>
      <w:bookmarkStart w:id="0" w:name="_GoBack"/>
      <w:bookmarkEnd w:id="0"/>
    </w:p>
    <w:p w:rsidR="00AB777B" w:rsidRPr="00AB777B" w:rsidRDefault="00AB777B" w:rsidP="00AB777B">
      <w:pPr>
        <w:spacing w:line="360" w:lineRule="auto"/>
        <w:jc w:val="both"/>
        <w:rPr>
          <w:sz w:val="24"/>
          <w:szCs w:val="24"/>
        </w:rPr>
      </w:pPr>
      <w:r w:rsidRPr="00AB777B">
        <w:rPr>
          <w:sz w:val="24"/>
          <w:szCs w:val="24"/>
        </w:rPr>
        <w:t>Cristina Pinto (Assessoria de Imprensa - Universidade de Coimbra)</w:t>
      </w:r>
    </w:p>
    <w:p w:rsidR="00AB777B" w:rsidRPr="00AB777B" w:rsidRDefault="00AB777B" w:rsidP="00AB777B">
      <w:pPr>
        <w:spacing w:line="360" w:lineRule="auto"/>
        <w:jc w:val="both"/>
        <w:rPr>
          <w:sz w:val="24"/>
          <w:szCs w:val="24"/>
        </w:rPr>
      </w:pPr>
      <w:r w:rsidRPr="00AB777B">
        <w:rPr>
          <w:sz w:val="24"/>
          <w:szCs w:val="24"/>
        </w:rPr>
        <w:t>Ciência na Imprensa Regional – Ciência Viva</w:t>
      </w:r>
    </w:p>
    <w:sectPr w:rsidR="00AB777B" w:rsidRPr="00AB777B" w:rsidSect="00C1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B777B"/>
    <w:rsid w:val="00362D13"/>
    <w:rsid w:val="00455E80"/>
    <w:rsid w:val="0063074E"/>
    <w:rsid w:val="00943EA8"/>
    <w:rsid w:val="00AB777B"/>
    <w:rsid w:val="00C17A1B"/>
    <w:rsid w:val="00F1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2791</Characters>
  <Application>Microsoft Office Word</Application>
  <DocSecurity>0</DocSecurity>
  <Lines>23</Lines>
  <Paragraphs>6</Paragraphs>
  <ScaleCrop>false</ScaleCrop>
  <Company>PERSONAL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2016-11-21T11:01:00Z</dcterms:created>
  <dcterms:modified xsi:type="dcterms:W3CDTF">2016-11-21T11:04:00Z</dcterms:modified>
</cp:coreProperties>
</file>